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CC0B0" w14:textId="77777777" w:rsidR="000A164C" w:rsidRPr="00AB398F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23E91BCC" w14:textId="77777777" w:rsidR="000A164C" w:rsidRPr="00AB398F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0DC1E40" w14:textId="77777777" w:rsidR="007D185A" w:rsidRPr="00AB398F" w:rsidRDefault="007D185A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57815F7B" w14:textId="77777777" w:rsidR="000A164C" w:rsidRPr="00AB398F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1938D08C" w14:textId="77777777" w:rsidR="000A164C" w:rsidRPr="00AB398F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33A53CB0" w14:textId="77777777" w:rsidR="000A164C" w:rsidRPr="00AB398F" w:rsidRDefault="007B11B4" w:rsidP="007D185A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Evaluación de la Composición Corporal</w:t>
      </w:r>
    </w:p>
    <w:p w14:paraId="6515FDC2" w14:textId="77777777" w:rsidR="000A164C" w:rsidRPr="00AB398F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17B4E2CE" w14:textId="77777777" w:rsidR="000A164C" w:rsidRPr="00AB398F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116DBED2" w14:textId="77777777" w:rsidR="000A164C" w:rsidRPr="00AB398F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3A3E4ACB" w14:textId="77777777" w:rsidR="000A164C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02C812AF" w14:textId="77777777" w:rsidR="007B11B4" w:rsidRPr="00AB398F" w:rsidRDefault="007B11B4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50817B3F" w14:textId="77777777" w:rsidR="000A164C" w:rsidRPr="00AB398F" w:rsidRDefault="007B11B4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Juan del Pueblo</w:t>
      </w:r>
    </w:p>
    <w:p w14:paraId="1261F828" w14:textId="77777777" w:rsidR="000A164C" w:rsidRPr="00AB398F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5379DFF6" w14:textId="77777777" w:rsidR="000A164C" w:rsidRPr="00AB398F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0591BA83" w14:textId="77777777" w:rsidR="000A164C" w:rsidRPr="00AB398F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2ACD469" w14:textId="77777777" w:rsidR="000A164C" w:rsidRPr="00AB398F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7B5D890C" w14:textId="77777777" w:rsidR="000A164C" w:rsidRPr="00AB398F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E5F8772" w14:textId="77777777" w:rsidR="000A164C" w:rsidRPr="00AB398F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1DC0472" w14:textId="77777777" w:rsidR="000A164C" w:rsidRPr="00AB398F" w:rsidRDefault="007B11B4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Diseño de Programas de Ejercicios</w:t>
      </w:r>
    </w:p>
    <w:p w14:paraId="30A34FB3" w14:textId="77777777" w:rsidR="000A164C" w:rsidRPr="00AB398F" w:rsidRDefault="007B11B4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HPER</w:t>
      </w:r>
      <w:r w:rsidR="000A164C" w:rsidRPr="00AB3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4308</w:t>
      </w:r>
    </w:p>
    <w:p w14:paraId="0435480B" w14:textId="77777777" w:rsidR="000A164C" w:rsidRPr="00AB398F" w:rsidRDefault="007B11B4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Edgar Lopategui Corsino</w:t>
      </w:r>
    </w:p>
    <w:p w14:paraId="0B198273" w14:textId="62A06B0B" w:rsidR="00AB398F" w:rsidRPr="00AB398F" w:rsidRDefault="0092016C" w:rsidP="007B11B4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B11B4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diciembre</w:t>
      </w:r>
      <w:r w:rsidR="007B11B4">
        <w:rPr>
          <w:rFonts w:ascii="Times New Roman" w:hAnsi="Times New Roman"/>
          <w:sz w:val="24"/>
          <w:szCs w:val="24"/>
        </w:rPr>
        <w:t xml:space="preserve"> de 20</w:t>
      </w:r>
      <w:r>
        <w:rPr>
          <w:rFonts w:ascii="Times New Roman" w:hAnsi="Times New Roman"/>
          <w:sz w:val="24"/>
          <w:szCs w:val="24"/>
        </w:rPr>
        <w:t>24</w:t>
      </w:r>
    </w:p>
    <w:p w14:paraId="6CAE2EF2" w14:textId="77777777" w:rsidR="000A164C" w:rsidRPr="00AB398F" w:rsidRDefault="000A164C" w:rsidP="000A164C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14BEA74" w14:textId="77777777" w:rsidR="000A164C" w:rsidRPr="00AB398F" w:rsidRDefault="000A164C" w:rsidP="000A164C">
      <w:pPr>
        <w:spacing w:after="0" w:line="480" w:lineRule="auto"/>
        <w:rPr>
          <w:rFonts w:ascii="Times New Roman" w:hAnsi="Times New Roman"/>
          <w:sz w:val="24"/>
          <w:szCs w:val="24"/>
        </w:rPr>
        <w:sectPr w:rsidR="000A164C" w:rsidRPr="00AB398F" w:rsidSect="001128C7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6E5DC1" w14:textId="77777777" w:rsidR="000A164C" w:rsidRPr="00AB398F" w:rsidRDefault="000A164C" w:rsidP="000A164C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AB398F">
        <w:rPr>
          <w:rFonts w:ascii="Times New Roman" w:hAnsi="Times New Roman"/>
          <w:sz w:val="24"/>
          <w:szCs w:val="24"/>
        </w:rPr>
        <w:lastRenderedPageBreak/>
        <w:t>Reseña</w:t>
      </w:r>
    </w:p>
    <w:p w14:paraId="0D0F611A" w14:textId="77777777" w:rsidR="000A164C" w:rsidRPr="00AB398F" w:rsidRDefault="009821F8" w:rsidP="000A164C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la presenta tarea, se procedió a llevar a cabo una prueba de aptitud física vinculada con la salud.  </w:t>
      </w:r>
      <w:r w:rsidR="00415D94">
        <w:rPr>
          <w:rFonts w:ascii="Times New Roman" w:hAnsi="Times New Roman"/>
          <w:sz w:val="24"/>
          <w:szCs w:val="24"/>
        </w:rPr>
        <w:t>La decisión fue seleccionar la composición corporal, pues es un problema que atañe a nuestra sociedad actual.  Dentro del marco de esta prueba, se establecieron las variables de porcentaje de grasa e índice de masa corporal, ambas cuantificadas mediante impedancia</w:t>
      </w:r>
      <w:r w:rsidR="00FA6109" w:rsidRPr="00AB398F">
        <w:rPr>
          <w:rFonts w:ascii="Times New Roman" w:hAnsi="Times New Roman"/>
          <w:sz w:val="24"/>
          <w:szCs w:val="24"/>
        </w:rPr>
        <w:t>.</w:t>
      </w:r>
    </w:p>
    <w:p w14:paraId="220CC776" w14:textId="77777777" w:rsidR="000A164C" w:rsidRPr="00AB398F" w:rsidRDefault="000A164C" w:rsidP="000A164C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 w:rsidRPr="00AB398F">
        <w:rPr>
          <w:rFonts w:ascii="Times New Roman" w:hAnsi="Times New Roman"/>
          <w:i/>
          <w:sz w:val="24"/>
          <w:szCs w:val="24"/>
        </w:rPr>
        <w:t>Palabras Claves:</w:t>
      </w:r>
      <w:r w:rsidR="00415D94">
        <w:rPr>
          <w:rFonts w:ascii="Times New Roman" w:hAnsi="Times New Roman"/>
          <w:sz w:val="24"/>
          <w:szCs w:val="24"/>
        </w:rPr>
        <w:t xml:space="preserve">  composición corporal, porcentaje de grasa, índice de masa corporal</w:t>
      </w:r>
    </w:p>
    <w:p w14:paraId="5F4CC95D" w14:textId="77777777" w:rsidR="000A164C" w:rsidRPr="00AB398F" w:rsidRDefault="000A164C" w:rsidP="000A164C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FD5EA46" w14:textId="77777777" w:rsidR="000A164C" w:rsidRPr="00AB398F" w:rsidRDefault="000A164C" w:rsidP="000A164C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C895213" w14:textId="77777777" w:rsidR="000A164C" w:rsidRPr="00AB398F" w:rsidRDefault="000A164C" w:rsidP="000A164C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B1E8A27" w14:textId="77777777" w:rsidR="000A164C" w:rsidRPr="00AB398F" w:rsidRDefault="000A164C" w:rsidP="000A164C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DA6DFB3" w14:textId="77777777" w:rsidR="000A164C" w:rsidRPr="00AB398F" w:rsidRDefault="000A164C" w:rsidP="000A164C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5E08E4C" w14:textId="77777777" w:rsidR="000A164C" w:rsidRPr="00AB398F" w:rsidRDefault="000A164C" w:rsidP="000A164C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2BFE343" w14:textId="77777777" w:rsidR="000A164C" w:rsidRPr="00AB398F" w:rsidRDefault="000A164C" w:rsidP="000A164C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67E392A" w14:textId="77777777" w:rsidR="000A164C" w:rsidRPr="00AB398F" w:rsidRDefault="000A164C" w:rsidP="000A164C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363C019" w14:textId="77777777" w:rsidR="00646A9B" w:rsidRPr="00AB398F" w:rsidRDefault="002D37DD" w:rsidP="00707B17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Evaluación de la Composición Corporal</w:t>
      </w:r>
      <w:r w:rsidRPr="00AB398F">
        <w:rPr>
          <w:rFonts w:ascii="Times New Roman" w:hAnsi="Times New Roman"/>
          <w:sz w:val="24"/>
          <w:szCs w:val="24"/>
        </w:rPr>
        <w:t xml:space="preserve"> </w:t>
      </w:r>
    </w:p>
    <w:p w14:paraId="44CD4FA1" w14:textId="77777777" w:rsidR="006F431A" w:rsidRPr="00AB398F" w:rsidRDefault="002D37DD" w:rsidP="00646A9B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Las pruebas de aptitud física relacionadas a la salud son necesarias para llevar a cabo la prescripción de ejercicio a una persona</w:t>
      </w:r>
      <w:r w:rsidR="006F431A" w:rsidRPr="00AB398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En este caso, se escogió la prueba de composición corporal para recopilar una</w:t>
      </w:r>
    </w:p>
    <w:p w14:paraId="1374B772" w14:textId="77777777" w:rsidR="000A164C" w:rsidRPr="00AB398F" w:rsidRDefault="00DD37D4" w:rsidP="006F431A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 w:rsidRPr="00AB398F">
        <w:rPr>
          <w:rFonts w:ascii="Times New Roman" w:hAnsi="Times New Roman"/>
          <w:sz w:val="24"/>
          <w:szCs w:val="24"/>
        </w:rPr>
        <w:t xml:space="preserve">Se ha </w:t>
      </w:r>
      <w:r w:rsidR="00ED7124" w:rsidRPr="00AB398F">
        <w:rPr>
          <w:rFonts w:ascii="Times New Roman" w:hAnsi="Times New Roman"/>
          <w:sz w:val="24"/>
          <w:szCs w:val="24"/>
        </w:rPr>
        <w:t xml:space="preserve">evidenciado la efectividad favorable concerniente al aprendizaje de los estudiantes matriculados en cursos estructurados mediante la modalidad de educación a distancia </w:t>
      </w:r>
      <w:r w:rsidR="00743AF0" w:rsidRPr="00AB398F">
        <w:rPr>
          <w:rFonts w:ascii="Times New Roman" w:hAnsi="Times New Roman"/>
          <w:sz w:val="24"/>
          <w:szCs w:val="24"/>
        </w:rPr>
        <w:t xml:space="preserve">virtual </w:t>
      </w:r>
      <w:r w:rsidR="000A164C" w:rsidRPr="00AB398F">
        <w:rPr>
          <w:rFonts w:ascii="Times New Roman" w:hAnsi="Times New Roman"/>
          <w:sz w:val="24"/>
          <w:szCs w:val="24"/>
        </w:rPr>
        <w:t xml:space="preserve">(Liu &amp; </w:t>
      </w:r>
      <w:proofErr w:type="gramStart"/>
      <w:r w:rsidR="000A164C" w:rsidRPr="00AB398F">
        <w:rPr>
          <w:rFonts w:ascii="Times New Roman" w:hAnsi="Times New Roman"/>
          <w:sz w:val="24"/>
          <w:szCs w:val="24"/>
        </w:rPr>
        <w:t>Yen</w:t>
      </w:r>
      <w:proofErr w:type="gramEnd"/>
      <w:r w:rsidR="000A164C" w:rsidRPr="00AB398F">
        <w:rPr>
          <w:rFonts w:ascii="Times New Roman" w:hAnsi="Times New Roman"/>
          <w:sz w:val="24"/>
          <w:szCs w:val="24"/>
        </w:rPr>
        <w:t xml:space="preserve">, 2014).  </w:t>
      </w:r>
      <w:r w:rsidR="00ED7124" w:rsidRPr="00AB398F">
        <w:rPr>
          <w:rFonts w:ascii="Times New Roman" w:hAnsi="Times New Roman"/>
          <w:sz w:val="24"/>
          <w:szCs w:val="24"/>
        </w:rPr>
        <w:t>C</w:t>
      </w:r>
      <w:r w:rsidR="000A164C" w:rsidRPr="00AB398F">
        <w:rPr>
          <w:rFonts w:ascii="Times New Roman" w:hAnsi="Times New Roman"/>
          <w:sz w:val="24"/>
          <w:szCs w:val="24"/>
        </w:rPr>
        <w:t>uando se compara con el método tradicional</w:t>
      </w:r>
      <w:r w:rsidR="00B83DD4" w:rsidRPr="00AB398F">
        <w:rPr>
          <w:rFonts w:ascii="Times New Roman" w:hAnsi="Times New Roman"/>
          <w:sz w:val="24"/>
          <w:szCs w:val="24"/>
        </w:rPr>
        <w:t>-presencial</w:t>
      </w:r>
      <w:r w:rsidR="000A164C" w:rsidRPr="00AB398F">
        <w:rPr>
          <w:rFonts w:ascii="Times New Roman" w:hAnsi="Times New Roman"/>
          <w:sz w:val="24"/>
          <w:szCs w:val="24"/>
        </w:rPr>
        <w:t xml:space="preserve">, </w:t>
      </w:r>
      <w:r w:rsidR="0031563F" w:rsidRPr="00AB398F">
        <w:rPr>
          <w:rFonts w:ascii="Times New Roman" w:hAnsi="Times New Roman"/>
          <w:sz w:val="24"/>
          <w:szCs w:val="24"/>
        </w:rPr>
        <w:t xml:space="preserve">o </w:t>
      </w:r>
      <w:r w:rsidR="000A164C" w:rsidRPr="00AB398F">
        <w:rPr>
          <w:rFonts w:ascii="Times New Roman" w:hAnsi="Times New Roman"/>
          <w:sz w:val="24"/>
          <w:szCs w:val="24"/>
        </w:rPr>
        <w:t xml:space="preserve">cara-a-cara, se observa una ejecutoria académica más </w:t>
      </w:r>
      <w:r w:rsidR="00ED7124" w:rsidRPr="00AB398F">
        <w:rPr>
          <w:rFonts w:ascii="Times New Roman" w:hAnsi="Times New Roman"/>
          <w:sz w:val="24"/>
          <w:szCs w:val="24"/>
        </w:rPr>
        <w:t>trascenden</w:t>
      </w:r>
      <w:r w:rsidR="00B83DD4" w:rsidRPr="00AB398F">
        <w:rPr>
          <w:rFonts w:ascii="Times New Roman" w:hAnsi="Times New Roman"/>
          <w:sz w:val="24"/>
          <w:szCs w:val="24"/>
        </w:rPr>
        <w:t>tal</w:t>
      </w:r>
      <w:r w:rsidR="000A164C" w:rsidRPr="00AB398F">
        <w:rPr>
          <w:rFonts w:ascii="Times New Roman" w:hAnsi="Times New Roman"/>
          <w:sz w:val="24"/>
          <w:szCs w:val="24"/>
        </w:rPr>
        <w:t xml:space="preserve"> </w:t>
      </w:r>
      <w:r w:rsidR="00ED7124" w:rsidRPr="00AB398F">
        <w:rPr>
          <w:rFonts w:ascii="Times New Roman" w:hAnsi="Times New Roman"/>
          <w:sz w:val="24"/>
          <w:szCs w:val="24"/>
        </w:rPr>
        <w:t>por medio de</w:t>
      </w:r>
      <w:r w:rsidR="000A164C" w:rsidRPr="00AB398F">
        <w:rPr>
          <w:rFonts w:ascii="Times New Roman" w:hAnsi="Times New Roman"/>
          <w:sz w:val="24"/>
          <w:szCs w:val="24"/>
        </w:rPr>
        <w:t xml:space="preserve"> l</w:t>
      </w:r>
      <w:r w:rsidR="0019250A" w:rsidRPr="00AB398F">
        <w:rPr>
          <w:rFonts w:ascii="Times New Roman" w:hAnsi="Times New Roman"/>
          <w:sz w:val="24"/>
          <w:szCs w:val="24"/>
        </w:rPr>
        <w:t>a</w:t>
      </w:r>
      <w:r w:rsidR="000A164C" w:rsidRPr="00AB398F">
        <w:rPr>
          <w:rFonts w:ascii="Times New Roman" w:hAnsi="Times New Roman"/>
          <w:sz w:val="24"/>
          <w:szCs w:val="24"/>
        </w:rPr>
        <w:t xml:space="preserve">s </w:t>
      </w:r>
      <w:r w:rsidR="00B5300A" w:rsidRPr="00AB398F">
        <w:rPr>
          <w:rFonts w:ascii="Times New Roman" w:hAnsi="Times New Roman"/>
          <w:sz w:val="24"/>
          <w:szCs w:val="24"/>
        </w:rPr>
        <w:t>asignatura</w:t>
      </w:r>
      <w:r w:rsidR="0019250A" w:rsidRPr="00AB398F">
        <w:rPr>
          <w:rFonts w:ascii="Times New Roman" w:hAnsi="Times New Roman"/>
          <w:sz w:val="24"/>
          <w:szCs w:val="24"/>
        </w:rPr>
        <w:t>s</w:t>
      </w:r>
      <w:r w:rsidR="000A164C" w:rsidRPr="00AB398F">
        <w:rPr>
          <w:rFonts w:ascii="Times New Roman" w:hAnsi="Times New Roman"/>
          <w:sz w:val="24"/>
          <w:szCs w:val="24"/>
        </w:rPr>
        <w:t xml:space="preserve"> ofrecid</w:t>
      </w:r>
      <w:r w:rsidR="00B5300A" w:rsidRPr="00AB398F">
        <w:rPr>
          <w:rFonts w:ascii="Times New Roman" w:hAnsi="Times New Roman"/>
          <w:sz w:val="24"/>
          <w:szCs w:val="24"/>
        </w:rPr>
        <w:t>a</w:t>
      </w:r>
      <w:r w:rsidR="000A164C" w:rsidRPr="00AB398F">
        <w:rPr>
          <w:rFonts w:ascii="Times New Roman" w:hAnsi="Times New Roman"/>
          <w:sz w:val="24"/>
          <w:szCs w:val="24"/>
        </w:rPr>
        <w:t>s e</w:t>
      </w:r>
      <w:r w:rsidR="006D166E" w:rsidRPr="00AB398F">
        <w:rPr>
          <w:rFonts w:ascii="Times New Roman" w:hAnsi="Times New Roman"/>
          <w:sz w:val="24"/>
          <w:szCs w:val="24"/>
        </w:rPr>
        <w:t xml:space="preserve">n la </w:t>
      </w:r>
      <w:r w:rsidR="002517DA" w:rsidRPr="00AB398F">
        <w:rPr>
          <w:rFonts w:ascii="Times New Roman" w:hAnsi="Times New Roman"/>
          <w:sz w:val="24"/>
          <w:szCs w:val="24"/>
        </w:rPr>
        <w:t>variante</w:t>
      </w:r>
      <w:r w:rsidR="006D166E" w:rsidRPr="00AB398F">
        <w:rPr>
          <w:rFonts w:ascii="Times New Roman" w:hAnsi="Times New Roman"/>
          <w:sz w:val="24"/>
          <w:szCs w:val="24"/>
        </w:rPr>
        <w:t xml:space="preserve"> </w:t>
      </w:r>
      <w:r w:rsidR="002517DA" w:rsidRPr="00AB398F">
        <w:rPr>
          <w:rFonts w:ascii="Times New Roman" w:hAnsi="Times New Roman"/>
          <w:sz w:val="24"/>
          <w:szCs w:val="24"/>
        </w:rPr>
        <w:t xml:space="preserve">del </w:t>
      </w:r>
      <w:r w:rsidR="002517DA" w:rsidRPr="00AB398F">
        <w:rPr>
          <w:rFonts w:ascii="Times New Roman" w:hAnsi="Times New Roman"/>
          <w:i/>
          <w:sz w:val="24"/>
          <w:szCs w:val="24"/>
        </w:rPr>
        <w:t>e-aprendizaje</w:t>
      </w:r>
      <w:r w:rsidR="000A164C" w:rsidRPr="00AB398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77DA0" w:rsidRPr="00AB398F">
        <w:rPr>
          <w:rFonts w:ascii="Times New Roman" w:hAnsi="Times New Roman"/>
          <w:sz w:val="24"/>
          <w:szCs w:val="24"/>
        </w:rPr>
        <w:t>Farahmand</w:t>
      </w:r>
      <w:proofErr w:type="spellEnd"/>
      <w:r w:rsidR="0036043A" w:rsidRPr="00AB398F">
        <w:rPr>
          <w:rFonts w:ascii="Times New Roman" w:hAnsi="Times New Roman"/>
          <w:sz w:val="24"/>
          <w:szCs w:val="24"/>
        </w:rPr>
        <w:t xml:space="preserve"> et al.,</w:t>
      </w:r>
      <w:r w:rsidR="00C77DA0" w:rsidRPr="00AB398F">
        <w:rPr>
          <w:rFonts w:ascii="Times New Roman" w:hAnsi="Times New Roman"/>
          <w:sz w:val="24"/>
          <w:szCs w:val="24"/>
        </w:rPr>
        <w:t xml:space="preserve"> 2016; </w:t>
      </w:r>
      <w:r w:rsidR="000A164C" w:rsidRPr="00AB398F">
        <w:rPr>
          <w:rFonts w:ascii="Times New Roman" w:hAnsi="Times New Roman"/>
          <w:sz w:val="24"/>
          <w:szCs w:val="24"/>
        </w:rPr>
        <w:t xml:space="preserve">Campbell, Gibson, Hall, Richards, &amp; </w:t>
      </w:r>
      <w:proofErr w:type="spellStart"/>
      <w:r w:rsidR="000A164C" w:rsidRPr="00AB398F">
        <w:rPr>
          <w:rFonts w:ascii="Times New Roman" w:hAnsi="Times New Roman"/>
          <w:sz w:val="24"/>
          <w:szCs w:val="24"/>
        </w:rPr>
        <w:lastRenderedPageBreak/>
        <w:t>Callery</w:t>
      </w:r>
      <w:proofErr w:type="spellEnd"/>
      <w:r w:rsidR="000A164C" w:rsidRPr="00AB398F">
        <w:rPr>
          <w:rFonts w:ascii="Times New Roman" w:hAnsi="Times New Roman"/>
          <w:sz w:val="24"/>
          <w:szCs w:val="24"/>
        </w:rPr>
        <w:t>, 2008; Coma Del Corral, Guevara, Luquin, Peña, &amp; Mateos Otero, 2006;</w:t>
      </w:r>
      <w:r w:rsidR="000A164C" w:rsidRPr="00AB398F">
        <w:t xml:space="preserve"> </w:t>
      </w:r>
      <w:r w:rsidR="000A164C" w:rsidRPr="00AB398F">
        <w:rPr>
          <w:rFonts w:ascii="Times New Roman" w:hAnsi="Times New Roman"/>
          <w:sz w:val="24"/>
          <w:szCs w:val="24"/>
        </w:rPr>
        <w:t xml:space="preserve">Lim, et al, 2008; </w:t>
      </w:r>
      <w:proofErr w:type="spellStart"/>
      <w:r w:rsidR="000A164C" w:rsidRPr="00AB398F">
        <w:rPr>
          <w:rFonts w:ascii="Times New Roman" w:hAnsi="Times New Roman"/>
          <w:sz w:val="24"/>
          <w:szCs w:val="24"/>
        </w:rPr>
        <w:t>Reasons</w:t>
      </w:r>
      <w:proofErr w:type="spellEnd"/>
      <w:r w:rsidR="000A164C" w:rsidRPr="00AB398F">
        <w:rPr>
          <w:rFonts w:ascii="Times New Roman" w:hAnsi="Times New Roman"/>
          <w:sz w:val="24"/>
          <w:szCs w:val="24"/>
        </w:rPr>
        <w:t xml:space="preserve">, Valadares, &amp; </w:t>
      </w:r>
      <w:proofErr w:type="spellStart"/>
      <w:r w:rsidR="000A164C" w:rsidRPr="00AB398F">
        <w:rPr>
          <w:rFonts w:ascii="Times New Roman" w:hAnsi="Times New Roman"/>
          <w:sz w:val="24"/>
          <w:szCs w:val="24"/>
        </w:rPr>
        <w:t>Slavkin</w:t>
      </w:r>
      <w:proofErr w:type="spellEnd"/>
      <w:r w:rsidR="000A164C" w:rsidRPr="00AB398F">
        <w:rPr>
          <w:rFonts w:ascii="Times New Roman" w:hAnsi="Times New Roman"/>
          <w:sz w:val="24"/>
          <w:szCs w:val="24"/>
        </w:rPr>
        <w:t xml:space="preserve">, 2005).  </w:t>
      </w:r>
      <w:r w:rsidR="006F431A" w:rsidRPr="00AB398F">
        <w:rPr>
          <w:rFonts w:ascii="Times New Roman" w:hAnsi="Times New Roman"/>
          <w:sz w:val="24"/>
          <w:szCs w:val="24"/>
        </w:rPr>
        <w:t xml:space="preserve">Por su parte, un grupo de </w:t>
      </w:r>
      <w:r w:rsidR="00B83DD4" w:rsidRPr="00AB398F">
        <w:rPr>
          <w:rFonts w:ascii="Times New Roman" w:hAnsi="Times New Roman"/>
          <w:sz w:val="24"/>
          <w:szCs w:val="24"/>
        </w:rPr>
        <w:t>investigaciones científicas</w:t>
      </w:r>
      <w:r w:rsidR="006F431A" w:rsidRPr="00AB398F">
        <w:rPr>
          <w:rFonts w:ascii="Times New Roman" w:hAnsi="Times New Roman"/>
          <w:sz w:val="24"/>
          <w:szCs w:val="24"/>
        </w:rPr>
        <w:t xml:space="preserve"> </w:t>
      </w:r>
      <w:r w:rsidR="002517DA" w:rsidRPr="00AB398F">
        <w:rPr>
          <w:rFonts w:ascii="Times New Roman" w:hAnsi="Times New Roman"/>
          <w:sz w:val="24"/>
          <w:szCs w:val="24"/>
        </w:rPr>
        <w:t xml:space="preserve">han </w:t>
      </w:r>
      <w:r w:rsidR="00523846" w:rsidRPr="00AB398F">
        <w:rPr>
          <w:rFonts w:ascii="Times New Roman" w:hAnsi="Times New Roman"/>
          <w:sz w:val="24"/>
          <w:szCs w:val="24"/>
        </w:rPr>
        <w:t>comprobado</w:t>
      </w:r>
      <w:r w:rsidR="006F431A" w:rsidRPr="00AB398F">
        <w:rPr>
          <w:rFonts w:ascii="Times New Roman" w:hAnsi="Times New Roman"/>
          <w:sz w:val="24"/>
          <w:szCs w:val="24"/>
        </w:rPr>
        <w:t xml:space="preserve"> que los programas de educación a distancia clásicos y abiertos, donde se imparte una diversidad de modalidades, como lo son los cursos </w:t>
      </w:r>
      <w:r w:rsidR="00FE3560" w:rsidRPr="00AB398F">
        <w:rPr>
          <w:rFonts w:ascii="Times New Roman" w:hAnsi="Times New Roman"/>
          <w:sz w:val="24"/>
          <w:szCs w:val="24"/>
        </w:rPr>
        <w:t>híbridos</w:t>
      </w:r>
      <w:r w:rsidR="006F431A" w:rsidRPr="00AB398F">
        <w:rPr>
          <w:rFonts w:ascii="Times New Roman" w:hAnsi="Times New Roman"/>
          <w:sz w:val="24"/>
          <w:szCs w:val="24"/>
        </w:rPr>
        <w:t xml:space="preserve"> y el aprendizaje</w:t>
      </w:r>
      <w:r w:rsidR="00FE3560" w:rsidRPr="00AB398F">
        <w:rPr>
          <w:rFonts w:ascii="Times New Roman" w:hAnsi="Times New Roman"/>
          <w:sz w:val="24"/>
          <w:szCs w:val="24"/>
        </w:rPr>
        <w:t xml:space="preserve"> basado en el Web</w:t>
      </w:r>
      <w:r w:rsidR="006F431A" w:rsidRPr="00AB398F">
        <w:rPr>
          <w:rFonts w:ascii="Times New Roman" w:hAnsi="Times New Roman"/>
          <w:sz w:val="24"/>
          <w:szCs w:val="24"/>
        </w:rPr>
        <w:t>, son tan efectivos como aquellos que mantienen un currículo presencial, esto es, de metodología tradicional (</w:t>
      </w:r>
      <w:r w:rsidR="006F431A" w:rsidRPr="00AB398F">
        <w:rPr>
          <w:rFonts w:ascii="Times New Roman" w:hAnsi="Times New Roman"/>
          <w:i/>
          <w:sz w:val="24"/>
          <w:szCs w:val="24"/>
        </w:rPr>
        <w:t>face-</w:t>
      </w:r>
      <w:proofErr w:type="spellStart"/>
      <w:r w:rsidR="006F431A" w:rsidRPr="00AB398F">
        <w:rPr>
          <w:rFonts w:ascii="Times New Roman" w:hAnsi="Times New Roman"/>
          <w:i/>
          <w:sz w:val="24"/>
          <w:szCs w:val="24"/>
        </w:rPr>
        <w:t>to</w:t>
      </w:r>
      <w:proofErr w:type="spellEnd"/>
      <w:r w:rsidR="006F431A" w:rsidRPr="00AB398F">
        <w:rPr>
          <w:rFonts w:ascii="Times New Roman" w:hAnsi="Times New Roman"/>
          <w:i/>
          <w:sz w:val="24"/>
          <w:szCs w:val="24"/>
        </w:rPr>
        <w:t>-face</w:t>
      </w:r>
      <w:r w:rsidR="006F431A" w:rsidRPr="00AB398F">
        <w:rPr>
          <w:rFonts w:ascii="Times New Roman" w:hAnsi="Times New Roman"/>
          <w:sz w:val="24"/>
          <w:szCs w:val="24"/>
        </w:rPr>
        <w:t xml:space="preserve">) (Larson &amp; Sung, 2009; McFarland &amp; Hamilton, 2006).  </w:t>
      </w:r>
      <w:r w:rsidR="006D166E" w:rsidRPr="00AB398F">
        <w:rPr>
          <w:rFonts w:ascii="Times New Roman" w:hAnsi="Times New Roman"/>
          <w:sz w:val="24"/>
          <w:szCs w:val="24"/>
        </w:rPr>
        <w:t>Más aún, al contrastar el contenido de amb</w:t>
      </w:r>
      <w:r w:rsidR="00523846" w:rsidRPr="00AB398F">
        <w:rPr>
          <w:rFonts w:ascii="Times New Roman" w:hAnsi="Times New Roman"/>
          <w:sz w:val="24"/>
          <w:szCs w:val="24"/>
        </w:rPr>
        <w:t>o</w:t>
      </w:r>
      <w:r w:rsidR="006D166E" w:rsidRPr="00AB398F">
        <w:rPr>
          <w:rFonts w:ascii="Times New Roman" w:hAnsi="Times New Roman"/>
          <w:sz w:val="24"/>
          <w:szCs w:val="24"/>
        </w:rPr>
        <w:t xml:space="preserve">s </w:t>
      </w:r>
      <w:r w:rsidR="00523846" w:rsidRPr="00AB398F">
        <w:rPr>
          <w:rFonts w:ascii="Times New Roman" w:hAnsi="Times New Roman"/>
          <w:sz w:val="24"/>
          <w:szCs w:val="24"/>
        </w:rPr>
        <w:t>enfoques</w:t>
      </w:r>
      <w:r w:rsidR="006D166E" w:rsidRPr="00AB398F">
        <w:rPr>
          <w:rFonts w:ascii="Times New Roman" w:hAnsi="Times New Roman"/>
          <w:sz w:val="24"/>
          <w:szCs w:val="24"/>
        </w:rPr>
        <w:t xml:space="preserve"> de enseñanza-aprendizaje, la programación de los cursos académicos a distancia evidenciaron una calidad efectiva, tanto como aquell</w:t>
      </w:r>
      <w:r w:rsidR="00862C3A" w:rsidRPr="00AB398F">
        <w:rPr>
          <w:rFonts w:ascii="Times New Roman" w:hAnsi="Times New Roman"/>
          <w:sz w:val="24"/>
          <w:szCs w:val="24"/>
        </w:rPr>
        <w:t>a impartida por los cursos prese</w:t>
      </w:r>
      <w:r w:rsidR="006D166E" w:rsidRPr="00AB398F">
        <w:rPr>
          <w:rFonts w:ascii="Times New Roman" w:hAnsi="Times New Roman"/>
          <w:sz w:val="24"/>
          <w:szCs w:val="24"/>
        </w:rPr>
        <w:t xml:space="preserve">nciales (Bata-Jones &amp; Avery, 2004; </w:t>
      </w:r>
      <w:proofErr w:type="spellStart"/>
      <w:r w:rsidR="006D166E" w:rsidRPr="00AB398F">
        <w:rPr>
          <w:rFonts w:ascii="Times New Roman" w:hAnsi="Times New Roman"/>
          <w:sz w:val="24"/>
          <w:szCs w:val="24"/>
        </w:rPr>
        <w:t>Crowell</w:t>
      </w:r>
      <w:proofErr w:type="spellEnd"/>
      <w:r w:rsidR="006D166E" w:rsidRPr="00AB398F">
        <w:rPr>
          <w:rFonts w:ascii="Times New Roman" w:hAnsi="Times New Roman"/>
          <w:sz w:val="24"/>
          <w:szCs w:val="24"/>
        </w:rPr>
        <w:t xml:space="preserve">, &amp; </w:t>
      </w:r>
      <w:proofErr w:type="spellStart"/>
      <w:r w:rsidR="006D166E" w:rsidRPr="00AB398F">
        <w:rPr>
          <w:rFonts w:ascii="Times New Roman" w:hAnsi="Times New Roman"/>
          <w:sz w:val="24"/>
          <w:szCs w:val="24"/>
        </w:rPr>
        <w:t>McCarragher</w:t>
      </w:r>
      <w:proofErr w:type="spellEnd"/>
      <w:r w:rsidR="006D166E" w:rsidRPr="00AB398F">
        <w:rPr>
          <w:rFonts w:ascii="Times New Roman" w:hAnsi="Times New Roman"/>
          <w:sz w:val="24"/>
          <w:szCs w:val="24"/>
        </w:rPr>
        <w:t xml:space="preserve">, </w:t>
      </w:r>
      <w:r w:rsidR="00751A76" w:rsidRPr="00AB398F">
        <w:rPr>
          <w:rFonts w:ascii="Times New Roman" w:hAnsi="Times New Roman"/>
          <w:sz w:val="24"/>
          <w:szCs w:val="24"/>
        </w:rPr>
        <w:t xml:space="preserve">2007; </w:t>
      </w:r>
      <w:proofErr w:type="spellStart"/>
      <w:r w:rsidR="00751A76" w:rsidRPr="00AB398F">
        <w:rPr>
          <w:rFonts w:ascii="Times New Roman" w:hAnsi="Times New Roman"/>
          <w:sz w:val="24"/>
          <w:szCs w:val="24"/>
        </w:rPr>
        <w:t>Huckstadt</w:t>
      </w:r>
      <w:proofErr w:type="spellEnd"/>
      <w:r w:rsidR="00751A76" w:rsidRPr="00AB398F">
        <w:rPr>
          <w:rFonts w:ascii="Times New Roman" w:hAnsi="Times New Roman"/>
          <w:sz w:val="24"/>
          <w:szCs w:val="24"/>
        </w:rPr>
        <w:t xml:space="preserve"> &amp; Hayes,</w:t>
      </w:r>
      <w:r w:rsidR="006D166E" w:rsidRPr="00AB398F">
        <w:rPr>
          <w:rFonts w:ascii="Times New Roman" w:hAnsi="Times New Roman"/>
          <w:sz w:val="24"/>
          <w:szCs w:val="24"/>
        </w:rPr>
        <w:t xml:space="preserve"> 2005; </w:t>
      </w:r>
      <w:proofErr w:type="spellStart"/>
      <w:r w:rsidR="006D166E" w:rsidRPr="00AB398F">
        <w:rPr>
          <w:rFonts w:ascii="Times New Roman" w:hAnsi="Times New Roman"/>
          <w:sz w:val="24"/>
          <w:szCs w:val="24"/>
        </w:rPr>
        <w:t>McAlpine</w:t>
      </w:r>
      <w:proofErr w:type="spellEnd"/>
      <w:r w:rsidR="006D166E" w:rsidRPr="00AB39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166E" w:rsidRPr="00AB398F">
        <w:rPr>
          <w:rFonts w:ascii="Times New Roman" w:hAnsi="Times New Roman"/>
          <w:sz w:val="24"/>
          <w:szCs w:val="24"/>
        </w:rPr>
        <w:t>Lockerbie</w:t>
      </w:r>
      <w:proofErr w:type="spellEnd"/>
      <w:r w:rsidR="006D166E" w:rsidRPr="00AB398F">
        <w:rPr>
          <w:rFonts w:ascii="Times New Roman" w:hAnsi="Times New Roman"/>
          <w:sz w:val="24"/>
          <w:szCs w:val="24"/>
        </w:rPr>
        <w:t xml:space="preserve">, Ramsay &amp; Beaman, 2002; </w:t>
      </w:r>
      <w:proofErr w:type="spellStart"/>
      <w:r w:rsidR="006D166E" w:rsidRPr="00AB398F">
        <w:rPr>
          <w:rFonts w:ascii="Times New Roman" w:hAnsi="Times New Roman"/>
          <w:sz w:val="24"/>
          <w:szCs w:val="24"/>
        </w:rPr>
        <w:t>Tesone</w:t>
      </w:r>
      <w:proofErr w:type="spellEnd"/>
      <w:r w:rsidR="006D166E" w:rsidRPr="00AB398F">
        <w:rPr>
          <w:rFonts w:ascii="Times New Roman" w:hAnsi="Times New Roman"/>
          <w:sz w:val="24"/>
          <w:szCs w:val="24"/>
        </w:rPr>
        <w:t xml:space="preserve"> &amp; Ricci, 2008; Vernon, Pittman-</w:t>
      </w:r>
      <w:proofErr w:type="spellStart"/>
      <w:r w:rsidR="006D166E" w:rsidRPr="00AB398F">
        <w:rPr>
          <w:rFonts w:ascii="Times New Roman" w:hAnsi="Times New Roman"/>
          <w:sz w:val="24"/>
          <w:szCs w:val="24"/>
        </w:rPr>
        <w:t>Munke</w:t>
      </w:r>
      <w:proofErr w:type="spellEnd"/>
      <w:r w:rsidR="006D166E" w:rsidRPr="00AB39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166E" w:rsidRPr="00AB398F">
        <w:rPr>
          <w:rFonts w:ascii="Times New Roman" w:hAnsi="Times New Roman"/>
          <w:sz w:val="24"/>
          <w:szCs w:val="24"/>
        </w:rPr>
        <w:t>Vakalahi</w:t>
      </w:r>
      <w:proofErr w:type="spellEnd"/>
      <w:r w:rsidR="006D166E" w:rsidRPr="00AB39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166E" w:rsidRPr="00AB398F">
        <w:rPr>
          <w:rFonts w:ascii="Times New Roman" w:hAnsi="Times New Roman"/>
          <w:sz w:val="24"/>
          <w:szCs w:val="24"/>
        </w:rPr>
        <w:t>Adkins</w:t>
      </w:r>
      <w:proofErr w:type="spellEnd"/>
      <w:r w:rsidR="006D166E" w:rsidRPr="00AB398F">
        <w:rPr>
          <w:rFonts w:ascii="Times New Roman" w:hAnsi="Times New Roman"/>
          <w:sz w:val="24"/>
          <w:szCs w:val="24"/>
        </w:rPr>
        <w:t>, &amp; Pierce, 2009).</w:t>
      </w:r>
      <w:r w:rsidR="006F431A" w:rsidRPr="00AB398F">
        <w:rPr>
          <w:rFonts w:ascii="Times New Roman" w:hAnsi="Times New Roman"/>
          <w:sz w:val="24"/>
          <w:szCs w:val="24"/>
        </w:rPr>
        <w:t xml:space="preserve">  </w:t>
      </w:r>
      <w:r w:rsidR="000A164C" w:rsidRPr="00AB398F">
        <w:rPr>
          <w:rFonts w:ascii="Times New Roman" w:hAnsi="Times New Roman"/>
          <w:sz w:val="24"/>
          <w:szCs w:val="24"/>
        </w:rPr>
        <w:t xml:space="preserve">A nivel internacional, han cobrado éxito los currículos a distancia y de aprendizaje abierto (Lewis, </w:t>
      </w:r>
      <w:proofErr w:type="spellStart"/>
      <w:r w:rsidR="000A164C" w:rsidRPr="00AB398F">
        <w:rPr>
          <w:rFonts w:ascii="Times New Roman" w:hAnsi="Times New Roman"/>
          <w:sz w:val="24"/>
          <w:szCs w:val="24"/>
        </w:rPr>
        <w:t>Tutticci</w:t>
      </w:r>
      <w:proofErr w:type="spellEnd"/>
      <w:r w:rsidR="000A164C" w:rsidRPr="00AB398F">
        <w:rPr>
          <w:rFonts w:ascii="Times New Roman" w:hAnsi="Times New Roman"/>
          <w:sz w:val="24"/>
          <w:szCs w:val="24"/>
        </w:rPr>
        <w:t xml:space="preserve">, Douglas, Gray, Osborne, Evans, &amp; </w:t>
      </w:r>
      <w:proofErr w:type="spellStart"/>
      <w:r w:rsidR="000A164C" w:rsidRPr="00AB398F">
        <w:rPr>
          <w:rFonts w:ascii="Times New Roman" w:hAnsi="Times New Roman"/>
          <w:sz w:val="24"/>
          <w:szCs w:val="24"/>
        </w:rPr>
        <w:t>Nielson</w:t>
      </w:r>
      <w:proofErr w:type="spellEnd"/>
      <w:r w:rsidR="000A164C" w:rsidRPr="00AB398F">
        <w:rPr>
          <w:rFonts w:ascii="Times New Roman" w:hAnsi="Times New Roman"/>
          <w:sz w:val="24"/>
          <w:szCs w:val="24"/>
        </w:rPr>
        <w:t xml:space="preserve">, 2016; </w:t>
      </w:r>
      <w:proofErr w:type="spellStart"/>
      <w:r w:rsidR="000A164C" w:rsidRPr="00AB398F">
        <w:rPr>
          <w:rFonts w:ascii="Times New Roman" w:hAnsi="Times New Roman"/>
          <w:sz w:val="24"/>
          <w:szCs w:val="24"/>
        </w:rPr>
        <w:t>Pangeni</w:t>
      </w:r>
      <w:proofErr w:type="spellEnd"/>
      <w:r w:rsidR="000A164C" w:rsidRPr="00AB398F">
        <w:rPr>
          <w:rFonts w:ascii="Times New Roman" w:hAnsi="Times New Roman"/>
          <w:sz w:val="24"/>
          <w:szCs w:val="24"/>
        </w:rPr>
        <w:t xml:space="preserve">, 2016; </w:t>
      </w:r>
      <w:proofErr w:type="spellStart"/>
      <w:r w:rsidR="000A164C" w:rsidRPr="00AB398F">
        <w:rPr>
          <w:rFonts w:ascii="Times New Roman" w:hAnsi="Times New Roman"/>
          <w:sz w:val="24"/>
          <w:szCs w:val="24"/>
        </w:rPr>
        <w:t>Thapliyal</w:t>
      </w:r>
      <w:proofErr w:type="spellEnd"/>
      <w:r w:rsidR="000A164C" w:rsidRPr="00AB398F">
        <w:rPr>
          <w:rFonts w:ascii="Times New Roman" w:hAnsi="Times New Roman"/>
          <w:sz w:val="24"/>
          <w:szCs w:val="24"/>
        </w:rPr>
        <w:t>, 2014).</w:t>
      </w:r>
    </w:p>
    <w:p w14:paraId="7FAE4FBA" w14:textId="77777777" w:rsidR="000A164C" w:rsidRPr="00AB398F" w:rsidRDefault="000A164C" w:rsidP="000A164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B398F">
        <w:rPr>
          <w:rFonts w:ascii="Times New Roman" w:hAnsi="Times New Roman"/>
          <w:sz w:val="24"/>
          <w:szCs w:val="24"/>
        </w:rPr>
        <w:tab/>
      </w:r>
      <w:r w:rsidR="00D81DB7" w:rsidRPr="00AB398F">
        <w:rPr>
          <w:rFonts w:ascii="Times New Roman" w:hAnsi="Times New Roman"/>
          <w:sz w:val="24"/>
          <w:szCs w:val="24"/>
        </w:rPr>
        <w:t>En el</w:t>
      </w:r>
      <w:r w:rsidRPr="00AB398F">
        <w:rPr>
          <w:rFonts w:ascii="Times New Roman" w:hAnsi="Times New Roman"/>
          <w:sz w:val="24"/>
          <w:szCs w:val="24"/>
        </w:rPr>
        <w:t xml:space="preserve"> </w:t>
      </w:r>
      <w:r w:rsidR="00D81DB7" w:rsidRPr="00AB398F">
        <w:rPr>
          <w:rFonts w:ascii="Times New Roman" w:hAnsi="Times New Roman"/>
          <w:sz w:val="24"/>
          <w:szCs w:val="24"/>
        </w:rPr>
        <w:t>artículo</w:t>
      </w:r>
      <w:r w:rsidRPr="00AB39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398F">
        <w:rPr>
          <w:rFonts w:ascii="Times New Roman" w:hAnsi="Times New Roman"/>
          <w:i/>
          <w:sz w:val="24"/>
          <w:szCs w:val="24"/>
        </w:rPr>
        <w:t>Changing</w:t>
      </w:r>
      <w:proofErr w:type="spellEnd"/>
      <w:r w:rsidRPr="00AB398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398F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AB398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398F">
        <w:rPr>
          <w:rFonts w:ascii="Times New Roman" w:hAnsi="Times New Roman"/>
          <w:i/>
          <w:sz w:val="24"/>
          <w:szCs w:val="24"/>
        </w:rPr>
        <w:t>landscape</w:t>
      </w:r>
      <w:proofErr w:type="spellEnd"/>
      <w:r w:rsidRPr="00AB398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398F">
        <w:rPr>
          <w:rFonts w:ascii="Times New Roman" w:hAnsi="Times New Roman"/>
          <w:i/>
          <w:sz w:val="24"/>
          <w:szCs w:val="24"/>
        </w:rPr>
        <w:t>learning</w:t>
      </w:r>
      <w:proofErr w:type="spellEnd"/>
      <w:r w:rsidRPr="00AB398F">
        <w:rPr>
          <w:rFonts w:ascii="Times New Roman" w:hAnsi="Times New Roman"/>
          <w:i/>
          <w:sz w:val="24"/>
          <w:szCs w:val="24"/>
        </w:rPr>
        <w:t>:</w:t>
      </w:r>
      <w:r w:rsidRPr="00AB39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398F">
        <w:rPr>
          <w:rFonts w:ascii="Times New Roman" w:hAnsi="Times New Roman"/>
          <w:i/>
          <w:sz w:val="24"/>
          <w:szCs w:val="24"/>
        </w:rPr>
        <w:t>Critical</w:t>
      </w:r>
      <w:proofErr w:type="spellEnd"/>
      <w:r w:rsidRPr="00AB398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398F">
        <w:rPr>
          <w:rFonts w:ascii="Times New Roman" w:hAnsi="Times New Roman"/>
          <w:i/>
          <w:sz w:val="24"/>
          <w:szCs w:val="24"/>
        </w:rPr>
        <w:t>factors</w:t>
      </w:r>
      <w:proofErr w:type="spellEnd"/>
      <w:r w:rsidRPr="00AB398F">
        <w:rPr>
          <w:rFonts w:ascii="Times New Roman" w:hAnsi="Times New Roman"/>
          <w:i/>
          <w:sz w:val="24"/>
          <w:szCs w:val="24"/>
        </w:rPr>
        <w:t xml:space="preserve"> in open and </w:t>
      </w:r>
      <w:proofErr w:type="spellStart"/>
      <w:r w:rsidRPr="00AB398F">
        <w:rPr>
          <w:rFonts w:ascii="Times New Roman" w:hAnsi="Times New Roman"/>
          <w:i/>
          <w:sz w:val="24"/>
          <w:szCs w:val="24"/>
        </w:rPr>
        <w:t>distance</w:t>
      </w:r>
      <w:proofErr w:type="spellEnd"/>
      <w:r w:rsidRPr="00AB398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398F">
        <w:rPr>
          <w:rFonts w:ascii="Times New Roman" w:hAnsi="Times New Roman"/>
          <w:i/>
          <w:sz w:val="24"/>
          <w:szCs w:val="24"/>
        </w:rPr>
        <w:t>learning</w:t>
      </w:r>
      <w:proofErr w:type="spellEnd"/>
      <w:r w:rsidR="006C66B1" w:rsidRPr="00AB398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C66B1" w:rsidRPr="00AB398F">
        <w:rPr>
          <w:rFonts w:ascii="Times New Roman" w:hAnsi="Times New Roman"/>
          <w:sz w:val="24"/>
          <w:szCs w:val="24"/>
        </w:rPr>
        <w:t>Oyeleke</w:t>
      </w:r>
      <w:proofErr w:type="spellEnd"/>
      <w:r w:rsidR="006C66B1" w:rsidRPr="00AB39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C66B1" w:rsidRPr="00AB398F">
        <w:rPr>
          <w:rFonts w:ascii="Times New Roman" w:hAnsi="Times New Roman"/>
          <w:sz w:val="24"/>
          <w:szCs w:val="24"/>
        </w:rPr>
        <w:t>Olugbenga</w:t>
      </w:r>
      <w:proofErr w:type="spellEnd"/>
      <w:r w:rsidR="006C66B1" w:rsidRPr="00AB39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C66B1" w:rsidRPr="00AB398F">
        <w:rPr>
          <w:rFonts w:ascii="Times New Roman" w:hAnsi="Times New Roman"/>
          <w:sz w:val="24"/>
          <w:szCs w:val="24"/>
        </w:rPr>
        <w:t>Oluwayemi</w:t>
      </w:r>
      <w:proofErr w:type="spellEnd"/>
      <w:r w:rsidR="006C66B1" w:rsidRPr="00AB398F">
        <w:rPr>
          <w:rFonts w:ascii="Times New Roman" w:hAnsi="Times New Roman"/>
          <w:sz w:val="24"/>
          <w:szCs w:val="24"/>
        </w:rPr>
        <w:t xml:space="preserve">, &amp; </w:t>
      </w:r>
      <w:proofErr w:type="spellStart"/>
      <w:r w:rsidR="006C66B1" w:rsidRPr="00AB398F">
        <w:rPr>
          <w:rFonts w:ascii="Times New Roman" w:hAnsi="Times New Roman"/>
          <w:sz w:val="24"/>
          <w:szCs w:val="24"/>
        </w:rPr>
        <w:t>Sunday</w:t>
      </w:r>
      <w:proofErr w:type="spellEnd"/>
      <w:r w:rsidR="006C66B1" w:rsidRPr="00AB398F">
        <w:rPr>
          <w:rFonts w:ascii="Times New Roman" w:hAnsi="Times New Roman"/>
          <w:sz w:val="24"/>
          <w:szCs w:val="24"/>
        </w:rPr>
        <w:t>, 2015) se comparan</w:t>
      </w:r>
      <w:r w:rsidRPr="00AB398F">
        <w:rPr>
          <w:rFonts w:ascii="Times New Roman" w:hAnsi="Times New Roman"/>
          <w:sz w:val="24"/>
          <w:szCs w:val="24"/>
        </w:rPr>
        <w:t xml:space="preserve"> tres modalidades de enseñanza, que son: 1) el modelo presencial-tradicional, cara a cara; 2) el método de educación a distancia mezclado/integrado (i.e., currículo semipresencial), o </w:t>
      </w:r>
      <w:proofErr w:type="spellStart"/>
      <w:r w:rsidRPr="00AB398F">
        <w:rPr>
          <w:rFonts w:ascii="Times New Roman" w:hAnsi="Times New Roman"/>
          <w:i/>
          <w:sz w:val="24"/>
          <w:szCs w:val="24"/>
        </w:rPr>
        <w:t>blended</w:t>
      </w:r>
      <w:proofErr w:type="spellEnd"/>
      <w:r w:rsidRPr="00AB398F">
        <w:rPr>
          <w:rFonts w:ascii="Times New Roman" w:hAnsi="Times New Roman"/>
          <w:sz w:val="24"/>
          <w:szCs w:val="24"/>
        </w:rPr>
        <w:t xml:space="preserve"> y; 3) la estrategia de enseñanza-aprendizaje vía educación a distancia, o e-aprendizaje (</w:t>
      </w:r>
      <w:r w:rsidRPr="00AB398F">
        <w:rPr>
          <w:rFonts w:ascii="Times New Roman" w:hAnsi="Times New Roman"/>
          <w:i/>
          <w:sz w:val="24"/>
          <w:szCs w:val="24"/>
        </w:rPr>
        <w:t>e-learning</w:t>
      </w:r>
      <w:r w:rsidRPr="00AB398F">
        <w:rPr>
          <w:rFonts w:ascii="Times New Roman" w:hAnsi="Times New Roman"/>
          <w:sz w:val="24"/>
          <w:szCs w:val="24"/>
        </w:rPr>
        <w:t>), ya sea convencional o abierto (</w:t>
      </w:r>
      <w:r w:rsidRPr="00AB398F">
        <w:rPr>
          <w:rFonts w:ascii="Times New Roman" w:hAnsi="Times New Roman"/>
          <w:i/>
          <w:sz w:val="24"/>
          <w:szCs w:val="24"/>
        </w:rPr>
        <w:t xml:space="preserve">open </w:t>
      </w:r>
      <w:proofErr w:type="spellStart"/>
      <w:r w:rsidRPr="00AB398F">
        <w:rPr>
          <w:rFonts w:ascii="Times New Roman" w:hAnsi="Times New Roman"/>
          <w:i/>
          <w:sz w:val="24"/>
          <w:szCs w:val="24"/>
        </w:rPr>
        <w:t>distance</w:t>
      </w:r>
      <w:proofErr w:type="spellEnd"/>
      <w:r w:rsidRPr="00AB398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398F">
        <w:rPr>
          <w:rFonts w:ascii="Times New Roman" w:hAnsi="Times New Roman"/>
          <w:i/>
          <w:sz w:val="24"/>
          <w:szCs w:val="24"/>
        </w:rPr>
        <w:t>education</w:t>
      </w:r>
      <w:proofErr w:type="spellEnd"/>
      <w:r w:rsidRPr="00AB398F">
        <w:rPr>
          <w:rFonts w:ascii="Times New Roman" w:hAnsi="Times New Roman"/>
          <w:sz w:val="24"/>
          <w:szCs w:val="24"/>
        </w:rPr>
        <w:t xml:space="preserve">).  Los criterios de divergencia empleado por estos autores </w:t>
      </w:r>
      <w:r w:rsidR="00552963" w:rsidRPr="00AB398F">
        <w:rPr>
          <w:rFonts w:ascii="Times New Roman" w:hAnsi="Times New Roman"/>
          <w:sz w:val="24"/>
          <w:szCs w:val="24"/>
        </w:rPr>
        <w:t>fueron</w:t>
      </w:r>
      <w:r w:rsidRPr="00AB398F">
        <w:rPr>
          <w:rFonts w:ascii="Times New Roman" w:hAnsi="Times New Roman"/>
          <w:sz w:val="24"/>
          <w:szCs w:val="24"/>
        </w:rPr>
        <w:t xml:space="preserve">: 1) las estrategias pedagógicas (e.g., enfoque constructivista, incluyendo el aprendizaje activo y los principios sociales/colaborativo de aprendizaje) y de avalúo; 2) el tipo de currículo empleado; 3) las responsabilidades de los maestros y estudiantes en tales modelos de </w:t>
      </w:r>
      <w:r w:rsidRPr="00AB398F">
        <w:rPr>
          <w:rFonts w:ascii="Times New Roman" w:hAnsi="Times New Roman"/>
          <w:sz w:val="24"/>
          <w:szCs w:val="24"/>
        </w:rPr>
        <w:lastRenderedPageBreak/>
        <w:t xml:space="preserve">enseñanza y; </w:t>
      </w:r>
      <w:r w:rsidR="00BA6662" w:rsidRPr="00AB398F">
        <w:rPr>
          <w:rFonts w:ascii="Times New Roman" w:hAnsi="Times New Roman"/>
          <w:sz w:val="24"/>
          <w:szCs w:val="24"/>
        </w:rPr>
        <w:t>4</w:t>
      </w:r>
      <w:r w:rsidRPr="00AB398F">
        <w:rPr>
          <w:rFonts w:ascii="Times New Roman" w:hAnsi="Times New Roman"/>
          <w:sz w:val="24"/>
          <w:szCs w:val="24"/>
        </w:rPr>
        <w:t>) la tecnología (e.g., las plataformas digitales, o sistemas para la administración del aprendizaje [</w:t>
      </w:r>
      <w:proofErr w:type="spellStart"/>
      <w:r w:rsidRPr="00AB398F">
        <w:rPr>
          <w:rFonts w:ascii="Times New Roman" w:hAnsi="Times New Roman"/>
          <w:i/>
          <w:sz w:val="24"/>
          <w:szCs w:val="24"/>
        </w:rPr>
        <w:t>Learning</w:t>
      </w:r>
      <w:proofErr w:type="spellEnd"/>
      <w:r w:rsidRPr="00AB398F">
        <w:rPr>
          <w:rFonts w:ascii="Times New Roman" w:hAnsi="Times New Roman"/>
          <w:i/>
          <w:sz w:val="24"/>
          <w:szCs w:val="24"/>
        </w:rPr>
        <w:t xml:space="preserve"> Management </w:t>
      </w:r>
      <w:proofErr w:type="spellStart"/>
      <w:r w:rsidRPr="00AB398F">
        <w:rPr>
          <w:rFonts w:ascii="Times New Roman" w:hAnsi="Times New Roman"/>
          <w:i/>
          <w:sz w:val="24"/>
          <w:szCs w:val="24"/>
        </w:rPr>
        <w:t>System</w:t>
      </w:r>
      <w:proofErr w:type="spellEnd"/>
      <w:r w:rsidRPr="00AB398F">
        <w:rPr>
          <w:rFonts w:ascii="Times New Roman" w:hAnsi="Times New Roman"/>
          <w:sz w:val="24"/>
          <w:szCs w:val="24"/>
        </w:rPr>
        <w:t xml:space="preserve">, o </w:t>
      </w:r>
      <w:r w:rsidRPr="00AB398F">
        <w:rPr>
          <w:rFonts w:ascii="Times New Roman" w:hAnsi="Times New Roman"/>
          <w:i/>
          <w:sz w:val="24"/>
          <w:szCs w:val="24"/>
        </w:rPr>
        <w:t>LMS</w:t>
      </w:r>
      <w:r w:rsidRPr="00AB398F">
        <w:rPr>
          <w:rFonts w:ascii="Times New Roman" w:hAnsi="Times New Roman"/>
          <w:sz w:val="24"/>
          <w:szCs w:val="24"/>
        </w:rPr>
        <w:t>], herramientas multimedios, y el uso de los recursos digitales que provee la sociedad digital [el Web 2.0 y las redes sociales]).</w:t>
      </w:r>
    </w:p>
    <w:p w14:paraId="5D357F11" w14:textId="77777777" w:rsidR="000A164C" w:rsidRPr="00AB398F" w:rsidRDefault="000A164C" w:rsidP="00837719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B398F">
        <w:rPr>
          <w:rFonts w:ascii="Times New Roman" w:hAnsi="Times New Roman"/>
          <w:sz w:val="24"/>
          <w:szCs w:val="24"/>
        </w:rPr>
        <w:tab/>
      </w:r>
      <w:proofErr w:type="spellStart"/>
      <w:r w:rsidRPr="00AB398F">
        <w:rPr>
          <w:rFonts w:ascii="Times New Roman" w:hAnsi="Times New Roman"/>
          <w:sz w:val="24"/>
          <w:szCs w:val="24"/>
        </w:rPr>
        <w:t>Oyeleke</w:t>
      </w:r>
      <w:proofErr w:type="spellEnd"/>
      <w:r w:rsidR="008A63E5" w:rsidRPr="00AB398F">
        <w:rPr>
          <w:rFonts w:ascii="Times New Roman" w:hAnsi="Times New Roman"/>
          <w:sz w:val="24"/>
          <w:szCs w:val="24"/>
        </w:rPr>
        <w:t xml:space="preserve"> et al.</w:t>
      </w:r>
      <w:r w:rsidRPr="00AB398F">
        <w:rPr>
          <w:rFonts w:ascii="Times New Roman" w:hAnsi="Times New Roman"/>
          <w:sz w:val="24"/>
          <w:szCs w:val="24"/>
        </w:rPr>
        <w:t xml:space="preserve"> (2015) convincentemente aseguran que es de suma importancia integrar, durante el diseño del currículo virtual, los fundamentos educativos en la plataforma digital dedicada a la administración de los cursos en línea (</w:t>
      </w:r>
      <w:proofErr w:type="spellStart"/>
      <w:r w:rsidRPr="00AB398F">
        <w:rPr>
          <w:rFonts w:ascii="Times New Roman" w:hAnsi="Times New Roman"/>
          <w:i/>
          <w:sz w:val="24"/>
          <w:szCs w:val="24"/>
        </w:rPr>
        <w:t>Learning</w:t>
      </w:r>
      <w:proofErr w:type="spellEnd"/>
      <w:r w:rsidRPr="00AB398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398F">
        <w:rPr>
          <w:rFonts w:ascii="Times New Roman" w:hAnsi="Times New Roman"/>
          <w:i/>
          <w:sz w:val="24"/>
          <w:szCs w:val="24"/>
        </w:rPr>
        <w:t>Managing</w:t>
      </w:r>
      <w:proofErr w:type="spellEnd"/>
      <w:r w:rsidRPr="00AB398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398F">
        <w:rPr>
          <w:rFonts w:ascii="Times New Roman" w:hAnsi="Times New Roman"/>
          <w:i/>
          <w:sz w:val="24"/>
          <w:szCs w:val="24"/>
        </w:rPr>
        <w:t>System</w:t>
      </w:r>
      <w:proofErr w:type="spellEnd"/>
      <w:r w:rsidRPr="00AB398F">
        <w:rPr>
          <w:rFonts w:ascii="Times New Roman" w:hAnsi="Times New Roman"/>
          <w:sz w:val="24"/>
          <w:szCs w:val="24"/>
        </w:rPr>
        <w:t xml:space="preserve"> o, </w:t>
      </w:r>
      <w:r w:rsidRPr="00AB398F">
        <w:rPr>
          <w:rFonts w:ascii="Times New Roman" w:hAnsi="Times New Roman"/>
          <w:i/>
          <w:sz w:val="24"/>
          <w:szCs w:val="24"/>
        </w:rPr>
        <w:t>LMS</w:t>
      </w:r>
      <w:r w:rsidRPr="00AB398F">
        <w:rPr>
          <w:rFonts w:ascii="Times New Roman" w:hAnsi="Times New Roman"/>
          <w:sz w:val="24"/>
          <w:szCs w:val="24"/>
        </w:rPr>
        <w:t xml:space="preserve">).  Entonces, los expertos docentes deben de considerar varios modelos curriculares, uno de los de mayor impacto es el </w:t>
      </w:r>
      <w:r w:rsidRPr="00AB398F">
        <w:rPr>
          <w:rFonts w:ascii="Times New Roman" w:hAnsi="Times New Roman"/>
          <w:i/>
          <w:sz w:val="24"/>
          <w:szCs w:val="24"/>
        </w:rPr>
        <w:t>enfoque flexible</w:t>
      </w:r>
      <w:r w:rsidRPr="00AB398F">
        <w:rPr>
          <w:rFonts w:ascii="Times New Roman" w:hAnsi="Times New Roman"/>
          <w:sz w:val="24"/>
          <w:szCs w:val="24"/>
        </w:rPr>
        <w:t xml:space="preserve">, según detalla </w:t>
      </w:r>
      <w:proofErr w:type="spellStart"/>
      <w:r w:rsidRPr="00AB398F">
        <w:rPr>
          <w:rFonts w:ascii="Times New Roman" w:hAnsi="Times New Roman"/>
          <w:sz w:val="24"/>
          <w:szCs w:val="24"/>
        </w:rPr>
        <w:t>Oyeleke</w:t>
      </w:r>
      <w:proofErr w:type="spellEnd"/>
      <w:r w:rsidRPr="00AB398F">
        <w:rPr>
          <w:rFonts w:ascii="Times New Roman" w:hAnsi="Times New Roman"/>
          <w:sz w:val="24"/>
          <w:szCs w:val="24"/>
        </w:rPr>
        <w:t xml:space="preserve">, et al. (2015).  Conforme a </w:t>
      </w:r>
      <w:proofErr w:type="spellStart"/>
      <w:r w:rsidRPr="00AB398F">
        <w:rPr>
          <w:rFonts w:ascii="Times New Roman" w:hAnsi="Times New Roman"/>
          <w:sz w:val="24"/>
          <w:szCs w:val="24"/>
        </w:rPr>
        <w:t>Oyeleke</w:t>
      </w:r>
      <w:proofErr w:type="spellEnd"/>
      <w:r w:rsidRPr="00AB398F">
        <w:rPr>
          <w:rFonts w:ascii="Times New Roman" w:hAnsi="Times New Roman"/>
          <w:sz w:val="24"/>
          <w:szCs w:val="24"/>
        </w:rPr>
        <w:t xml:space="preserve">, et al. (2015), la </w:t>
      </w:r>
      <w:r w:rsidRPr="00AB398F">
        <w:rPr>
          <w:rFonts w:ascii="Times New Roman" w:hAnsi="Times New Roman"/>
          <w:i/>
          <w:sz w:val="24"/>
          <w:szCs w:val="24"/>
        </w:rPr>
        <w:t>estrategia instructiva</w:t>
      </w:r>
      <w:r w:rsidRPr="00AB398F">
        <w:rPr>
          <w:rFonts w:ascii="Times New Roman" w:hAnsi="Times New Roman"/>
          <w:sz w:val="24"/>
          <w:szCs w:val="24"/>
        </w:rPr>
        <w:t xml:space="preserve">, derivada del modelo flexible, proporciona un andamiaje someramente aceptable para la interacción colectiva, de naturaleza asincrónica y sincrónica, entre los alumnos y maestros.  </w:t>
      </w:r>
      <w:proofErr w:type="spellStart"/>
      <w:r w:rsidRPr="00AB398F">
        <w:rPr>
          <w:rFonts w:ascii="Times New Roman" w:hAnsi="Times New Roman"/>
          <w:sz w:val="24"/>
          <w:szCs w:val="24"/>
        </w:rPr>
        <w:t>Oyeleke</w:t>
      </w:r>
      <w:proofErr w:type="spellEnd"/>
      <w:r w:rsidRPr="00AB398F">
        <w:rPr>
          <w:rFonts w:ascii="Times New Roman" w:hAnsi="Times New Roman"/>
          <w:sz w:val="24"/>
          <w:szCs w:val="24"/>
        </w:rPr>
        <w:t xml:space="preserve">, et al. (2015) exhibe concluyentemente el </w:t>
      </w:r>
      <w:r w:rsidRPr="00AB398F">
        <w:rPr>
          <w:rFonts w:ascii="Times New Roman" w:hAnsi="Times New Roman"/>
          <w:i/>
          <w:sz w:val="24"/>
          <w:szCs w:val="24"/>
        </w:rPr>
        <w:t>modelo de aprendizaje educativo</w:t>
      </w:r>
      <w:r w:rsidRPr="00AB398F">
        <w:rPr>
          <w:rFonts w:ascii="Times New Roman" w:hAnsi="Times New Roman"/>
          <w:sz w:val="24"/>
          <w:szCs w:val="24"/>
        </w:rPr>
        <w:t xml:space="preserve"> como una técnica para integrar las actividades pedagógicas en los cursos en línea</w:t>
      </w:r>
      <w:r w:rsidR="00303167" w:rsidRPr="00AB398F">
        <w:rPr>
          <w:rFonts w:ascii="Times New Roman" w:hAnsi="Times New Roman"/>
          <w:sz w:val="24"/>
          <w:szCs w:val="24"/>
        </w:rPr>
        <w:t>, pero excluyen algunas variables contaminantes que puedan afectar adversamente tal sistema de diseño pedagógico</w:t>
      </w:r>
      <w:r w:rsidR="00DB0E74" w:rsidRPr="00AB398F">
        <w:rPr>
          <w:rFonts w:ascii="Times New Roman" w:hAnsi="Times New Roman"/>
          <w:sz w:val="24"/>
          <w:szCs w:val="24"/>
        </w:rPr>
        <w:t>, así como las modalidades para impartir la pedagogía virtual</w:t>
      </w:r>
      <w:r w:rsidR="00882C66" w:rsidRPr="00AB398F">
        <w:rPr>
          <w:rFonts w:ascii="Times New Roman" w:hAnsi="Times New Roman"/>
          <w:sz w:val="24"/>
          <w:szCs w:val="24"/>
        </w:rPr>
        <w:t>.</w:t>
      </w:r>
    </w:p>
    <w:p w14:paraId="6858899D" w14:textId="77777777" w:rsidR="00600F89" w:rsidRPr="00AB398F" w:rsidRDefault="000A164C" w:rsidP="00D3566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B398F">
        <w:rPr>
          <w:rFonts w:ascii="Times New Roman" w:hAnsi="Times New Roman"/>
          <w:sz w:val="24"/>
          <w:szCs w:val="24"/>
        </w:rPr>
        <w:tab/>
      </w:r>
      <w:r w:rsidR="00837719" w:rsidRPr="00AB398F">
        <w:rPr>
          <w:rFonts w:ascii="Times New Roman" w:hAnsi="Times New Roman"/>
          <w:sz w:val="24"/>
          <w:szCs w:val="24"/>
        </w:rPr>
        <w:t xml:space="preserve">El primer punto en el cual coincidimos con </w:t>
      </w:r>
      <w:proofErr w:type="spellStart"/>
      <w:r w:rsidRPr="00AB398F">
        <w:rPr>
          <w:rFonts w:ascii="Times New Roman" w:hAnsi="Times New Roman"/>
          <w:sz w:val="24"/>
          <w:szCs w:val="24"/>
        </w:rPr>
        <w:t>Oyeleke</w:t>
      </w:r>
      <w:proofErr w:type="spellEnd"/>
      <w:r w:rsidRPr="00AB398F">
        <w:rPr>
          <w:rFonts w:ascii="Times New Roman" w:hAnsi="Times New Roman"/>
          <w:sz w:val="24"/>
          <w:szCs w:val="24"/>
        </w:rPr>
        <w:t xml:space="preserve">, et al. (2015) </w:t>
      </w:r>
      <w:r w:rsidR="00837719" w:rsidRPr="00AB398F">
        <w:rPr>
          <w:rFonts w:ascii="Times New Roman" w:hAnsi="Times New Roman"/>
          <w:sz w:val="24"/>
          <w:szCs w:val="24"/>
        </w:rPr>
        <w:t>es que, para ser efectiva, la educación a distancia necesita incorporar elementos curriculares,</w:t>
      </w:r>
      <w:r w:rsidRPr="00AB398F">
        <w:rPr>
          <w:rFonts w:ascii="Times New Roman" w:hAnsi="Times New Roman"/>
          <w:i/>
          <w:sz w:val="24"/>
          <w:szCs w:val="24"/>
        </w:rPr>
        <w:t xml:space="preserve"> interactivo</w:t>
      </w:r>
      <w:r w:rsidR="00837719" w:rsidRPr="00AB398F">
        <w:rPr>
          <w:rFonts w:ascii="Times New Roman" w:hAnsi="Times New Roman"/>
          <w:i/>
          <w:sz w:val="24"/>
          <w:szCs w:val="24"/>
        </w:rPr>
        <w:t>s</w:t>
      </w:r>
      <w:r w:rsidRPr="00AB398F">
        <w:rPr>
          <w:rFonts w:ascii="Times New Roman" w:hAnsi="Times New Roman"/>
          <w:i/>
          <w:sz w:val="24"/>
          <w:szCs w:val="24"/>
        </w:rPr>
        <w:t xml:space="preserve"> y ajustable</w:t>
      </w:r>
      <w:r w:rsidR="00837719" w:rsidRPr="00AB398F">
        <w:rPr>
          <w:rFonts w:ascii="Times New Roman" w:hAnsi="Times New Roman"/>
          <w:i/>
          <w:sz w:val="24"/>
          <w:szCs w:val="24"/>
        </w:rPr>
        <w:t>s</w:t>
      </w:r>
      <w:r w:rsidRPr="00AB398F">
        <w:rPr>
          <w:rFonts w:ascii="Times New Roman" w:hAnsi="Times New Roman"/>
          <w:sz w:val="24"/>
          <w:szCs w:val="24"/>
        </w:rPr>
        <w:t>.</w:t>
      </w:r>
      <w:r w:rsidR="00D35667" w:rsidRPr="00AB398F">
        <w:rPr>
          <w:rFonts w:ascii="Times New Roman" w:hAnsi="Times New Roman"/>
          <w:sz w:val="24"/>
          <w:szCs w:val="24"/>
        </w:rPr>
        <w:t xml:space="preserve">  </w:t>
      </w:r>
      <w:r w:rsidRPr="00AB398F">
        <w:rPr>
          <w:rFonts w:ascii="Times New Roman" w:hAnsi="Times New Roman"/>
          <w:sz w:val="24"/>
          <w:szCs w:val="24"/>
        </w:rPr>
        <w:t>Para estos académicos (</w:t>
      </w:r>
      <w:proofErr w:type="spellStart"/>
      <w:r w:rsidRPr="00AB398F">
        <w:rPr>
          <w:rFonts w:ascii="Times New Roman" w:hAnsi="Times New Roman"/>
          <w:sz w:val="24"/>
          <w:szCs w:val="24"/>
        </w:rPr>
        <w:t>Oyeleke</w:t>
      </w:r>
      <w:proofErr w:type="spellEnd"/>
      <w:r w:rsidRPr="00AB398F">
        <w:rPr>
          <w:rFonts w:ascii="Times New Roman" w:hAnsi="Times New Roman"/>
          <w:sz w:val="24"/>
          <w:szCs w:val="24"/>
        </w:rPr>
        <w:t xml:space="preserve">, et al. 2015), el </w:t>
      </w:r>
      <w:r w:rsidRPr="00AB398F">
        <w:rPr>
          <w:rFonts w:ascii="Times New Roman" w:hAnsi="Times New Roman"/>
          <w:i/>
          <w:sz w:val="24"/>
          <w:szCs w:val="24"/>
        </w:rPr>
        <w:t>modelo flexible</w:t>
      </w:r>
      <w:r w:rsidRPr="00AB398F">
        <w:rPr>
          <w:rFonts w:ascii="Times New Roman" w:hAnsi="Times New Roman"/>
          <w:sz w:val="24"/>
          <w:szCs w:val="24"/>
        </w:rPr>
        <w:t xml:space="preserve"> se compone de un ciclo de tres etapas, que son: 1) sistemas de instrucción y aprendizaje, 2) establecimiento de los medios y, 3) </w:t>
      </w:r>
      <w:r w:rsidR="00D460BF" w:rsidRPr="00AB398F">
        <w:rPr>
          <w:rFonts w:ascii="Times New Roman" w:hAnsi="Times New Roman"/>
          <w:sz w:val="24"/>
          <w:szCs w:val="24"/>
        </w:rPr>
        <w:t>procesos evaluativos</w:t>
      </w:r>
      <w:r w:rsidRPr="00AB398F">
        <w:rPr>
          <w:rFonts w:ascii="Times New Roman" w:hAnsi="Times New Roman"/>
          <w:sz w:val="24"/>
          <w:szCs w:val="24"/>
        </w:rPr>
        <w:t>/avalúo.  Estas fases se encuentran reguladas por las competencias y el perfil de los estudiantes.</w:t>
      </w:r>
      <w:r w:rsidR="00D14D11" w:rsidRPr="00AB398F">
        <w:rPr>
          <w:rFonts w:ascii="Times New Roman" w:hAnsi="Times New Roman"/>
          <w:sz w:val="24"/>
          <w:szCs w:val="24"/>
        </w:rPr>
        <w:t xml:space="preserve">  La</w:t>
      </w:r>
      <w:r w:rsidR="007348E1" w:rsidRPr="00AB398F">
        <w:rPr>
          <w:rFonts w:ascii="Times New Roman" w:hAnsi="Times New Roman"/>
          <w:sz w:val="24"/>
          <w:szCs w:val="24"/>
        </w:rPr>
        <w:t>s</w:t>
      </w:r>
      <w:r w:rsidR="00D14D11" w:rsidRPr="00AB398F">
        <w:rPr>
          <w:rFonts w:ascii="Times New Roman" w:hAnsi="Times New Roman"/>
          <w:sz w:val="24"/>
          <w:szCs w:val="24"/>
        </w:rPr>
        <w:t xml:space="preserve"> </w:t>
      </w:r>
      <w:r w:rsidR="00D14D11" w:rsidRPr="00AB398F">
        <w:rPr>
          <w:rFonts w:ascii="Times New Roman" w:hAnsi="Times New Roman"/>
          <w:i/>
          <w:sz w:val="24"/>
          <w:szCs w:val="24"/>
        </w:rPr>
        <w:t>afinidad</w:t>
      </w:r>
      <w:r w:rsidR="007348E1" w:rsidRPr="00AB398F">
        <w:rPr>
          <w:rFonts w:ascii="Times New Roman" w:hAnsi="Times New Roman"/>
          <w:i/>
          <w:sz w:val="24"/>
          <w:szCs w:val="24"/>
        </w:rPr>
        <w:t>es</w:t>
      </w:r>
      <w:r w:rsidR="00D14D11" w:rsidRPr="00AB398F">
        <w:rPr>
          <w:rFonts w:ascii="Times New Roman" w:hAnsi="Times New Roman"/>
          <w:i/>
          <w:sz w:val="24"/>
          <w:szCs w:val="24"/>
        </w:rPr>
        <w:t xml:space="preserve"> del alumnado</w:t>
      </w:r>
      <w:r w:rsidR="00D14D11" w:rsidRPr="00AB398F">
        <w:rPr>
          <w:rFonts w:ascii="Times New Roman" w:hAnsi="Times New Roman"/>
          <w:sz w:val="24"/>
          <w:szCs w:val="24"/>
        </w:rPr>
        <w:t xml:space="preserve"> representa</w:t>
      </w:r>
      <w:r w:rsidR="007348E1" w:rsidRPr="00AB398F">
        <w:rPr>
          <w:rFonts w:ascii="Times New Roman" w:hAnsi="Times New Roman"/>
          <w:sz w:val="24"/>
          <w:szCs w:val="24"/>
        </w:rPr>
        <w:t>n</w:t>
      </w:r>
      <w:r w:rsidR="00D14D11" w:rsidRPr="00AB398F">
        <w:rPr>
          <w:rFonts w:ascii="Times New Roman" w:hAnsi="Times New Roman"/>
          <w:sz w:val="24"/>
          <w:szCs w:val="24"/>
        </w:rPr>
        <w:t xml:space="preserve"> la médula de est</w:t>
      </w:r>
      <w:r w:rsidR="007348E1" w:rsidRPr="00AB398F">
        <w:rPr>
          <w:rFonts w:ascii="Times New Roman" w:hAnsi="Times New Roman"/>
          <w:sz w:val="24"/>
          <w:szCs w:val="24"/>
        </w:rPr>
        <w:t>a</w:t>
      </w:r>
      <w:r w:rsidR="00D14D11" w:rsidRPr="00AB398F">
        <w:rPr>
          <w:rFonts w:ascii="Times New Roman" w:hAnsi="Times New Roman"/>
          <w:sz w:val="24"/>
          <w:szCs w:val="24"/>
        </w:rPr>
        <w:t xml:space="preserve"> </w:t>
      </w:r>
      <w:r w:rsidR="007348E1" w:rsidRPr="00AB398F">
        <w:rPr>
          <w:rFonts w:ascii="Times New Roman" w:hAnsi="Times New Roman"/>
          <w:sz w:val="24"/>
          <w:szCs w:val="24"/>
        </w:rPr>
        <w:t>perspectiva</w:t>
      </w:r>
      <w:r w:rsidR="00D14D11" w:rsidRPr="00AB398F">
        <w:rPr>
          <w:rFonts w:ascii="Times New Roman" w:hAnsi="Times New Roman"/>
          <w:sz w:val="24"/>
          <w:szCs w:val="24"/>
        </w:rPr>
        <w:t xml:space="preserve"> curricular, es decir, es un </w:t>
      </w:r>
      <w:r w:rsidR="00A020F3" w:rsidRPr="00AB398F">
        <w:rPr>
          <w:rFonts w:ascii="Times New Roman" w:hAnsi="Times New Roman"/>
          <w:sz w:val="24"/>
          <w:szCs w:val="24"/>
        </w:rPr>
        <w:t>enfoque</w:t>
      </w:r>
      <w:r w:rsidR="00D14D11" w:rsidRPr="00AB398F">
        <w:rPr>
          <w:rFonts w:ascii="Times New Roman" w:hAnsi="Times New Roman"/>
          <w:sz w:val="24"/>
          <w:szCs w:val="24"/>
        </w:rPr>
        <w:t xml:space="preserve"> </w:t>
      </w:r>
      <w:r w:rsidR="00D14D11" w:rsidRPr="00AB398F">
        <w:rPr>
          <w:rFonts w:ascii="Times New Roman" w:hAnsi="Times New Roman"/>
          <w:i/>
          <w:sz w:val="24"/>
          <w:szCs w:val="24"/>
        </w:rPr>
        <w:t>maleable</w:t>
      </w:r>
      <w:r w:rsidR="007348E1" w:rsidRPr="00AB398F">
        <w:rPr>
          <w:rFonts w:ascii="Times New Roman" w:hAnsi="Times New Roman"/>
          <w:sz w:val="24"/>
          <w:szCs w:val="24"/>
        </w:rPr>
        <w:t>, el cual</w:t>
      </w:r>
      <w:r w:rsidR="00D14D11" w:rsidRPr="00AB398F">
        <w:rPr>
          <w:rFonts w:ascii="Times New Roman" w:hAnsi="Times New Roman"/>
          <w:sz w:val="24"/>
          <w:szCs w:val="24"/>
        </w:rPr>
        <w:t xml:space="preserve"> se ajusta a la</w:t>
      </w:r>
      <w:r w:rsidR="00C25607" w:rsidRPr="00AB398F">
        <w:rPr>
          <w:rFonts w:ascii="Times New Roman" w:hAnsi="Times New Roman"/>
          <w:sz w:val="24"/>
          <w:szCs w:val="24"/>
        </w:rPr>
        <w:t>s</w:t>
      </w:r>
      <w:r w:rsidR="00D14D11" w:rsidRPr="00AB398F">
        <w:rPr>
          <w:rFonts w:ascii="Times New Roman" w:hAnsi="Times New Roman"/>
          <w:sz w:val="24"/>
          <w:szCs w:val="24"/>
        </w:rPr>
        <w:t xml:space="preserve"> necesidades</w:t>
      </w:r>
      <w:r w:rsidR="007348E1" w:rsidRPr="00AB398F">
        <w:rPr>
          <w:rFonts w:ascii="Times New Roman" w:hAnsi="Times New Roman"/>
          <w:sz w:val="24"/>
          <w:szCs w:val="24"/>
        </w:rPr>
        <w:t xml:space="preserve"> particulares de los aprendices.</w:t>
      </w:r>
    </w:p>
    <w:p w14:paraId="27A42F18" w14:textId="77777777" w:rsidR="000A164C" w:rsidRPr="00AB398F" w:rsidRDefault="000A164C" w:rsidP="00CC5FFD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 w:rsidRPr="00AB398F">
        <w:rPr>
          <w:rFonts w:ascii="Times New Roman" w:hAnsi="Times New Roman"/>
          <w:sz w:val="24"/>
          <w:szCs w:val="24"/>
        </w:rPr>
        <w:lastRenderedPageBreak/>
        <w:t xml:space="preserve">En </w:t>
      </w:r>
      <w:r w:rsidR="00C25607" w:rsidRPr="00AB398F">
        <w:rPr>
          <w:rFonts w:ascii="Times New Roman" w:hAnsi="Times New Roman"/>
          <w:sz w:val="24"/>
          <w:szCs w:val="24"/>
        </w:rPr>
        <w:t xml:space="preserve">la práctica, el currículo flexible ha resultado muy efectivo.  Por ejemplo, </w:t>
      </w:r>
      <w:r w:rsidRPr="00AB398F">
        <w:rPr>
          <w:rFonts w:ascii="Times New Roman" w:hAnsi="Times New Roman"/>
          <w:sz w:val="24"/>
          <w:szCs w:val="24"/>
        </w:rPr>
        <w:t>un estudio</w:t>
      </w:r>
      <w:r w:rsidR="00C25607" w:rsidRPr="00AB398F">
        <w:rPr>
          <w:rFonts w:ascii="Times New Roman" w:hAnsi="Times New Roman"/>
          <w:sz w:val="24"/>
          <w:szCs w:val="24"/>
        </w:rPr>
        <w:t xml:space="preserve"> realizado por</w:t>
      </w:r>
      <w:r w:rsidR="00E27878" w:rsidRPr="00AB398F">
        <w:rPr>
          <w:rFonts w:ascii="Times New Roman" w:hAnsi="Times New Roman"/>
          <w:sz w:val="24"/>
          <w:szCs w:val="24"/>
        </w:rPr>
        <w:t xml:space="preserve"> Lewis, </w:t>
      </w:r>
      <w:proofErr w:type="spellStart"/>
      <w:r w:rsidR="00E27878" w:rsidRPr="00AB398F">
        <w:rPr>
          <w:rFonts w:ascii="Times New Roman" w:hAnsi="Times New Roman"/>
          <w:sz w:val="24"/>
          <w:szCs w:val="24"/>
        </w:rPr>
        <w:t>Tutticci</w:t>
      </w:r>
      <w:proofErr w:type="spellEnd"/>
      <w:r w:rsidR="00E27878" w:rsidRPr="00AB398F">
        <w:rPr>
          <w:rFonts w:ascii="Times New Roman" w:hAnsi="Times New Roman"/>
          <w:sz w:val="24"/>
          <w:szCs w:val="24"/>
        </w:rPr>
        <w:t>, Douglas, Gray, Osborne, Evans y</w:t>
      </w:r>
      <w:r w:rsidR="00EA6975" w:rsidRPr="00AB39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975" w:rsidRPr="00AB398F">
        <w:rPr>
          <w:rFonts w:ascii="Times New Roman" w:hAnsi="Times New Roman"/>
          <w:sz w:val="24"/>
          <w:szCs w:val="24"/>
        </w:rPr>
        <w:t>Nielson</w:t>
      </w:r>
      <w:proofErr w:type="spellEnd"/>
      <w:r w:rsidRPr="00AB398F">
        <w:rPr>
          <w:rFonts w:ascii="Times New Roman" w:hAnsi="Times New Roman"/>
          <w:sz w:val="24"/>
          <w:szCs w:val="24"/>
        </w:rPr>
        <w:t xml:space="preserve"> (2016)</w:t>
      </w:r>
      <w:r w:rsidR="009832D2" w:rsidRPr="00AB398F">
        <w:rPr>
          <w:rFonts w:ascii="Times New Roman" w:hAnsi="Times New Roman"/>
          <w:sz w:val="24"/>
          <w:szCs w:val="24"/>
        </w:rPr>
        <w:t xml:space="preserve">, </w:t>
      </w:r>
      <w:r w:rsidR="00786084" w:rsidRPr="00AB398F">
        <w:rPr>
          <w:rFonts w:ascii="Times New Roman" w:hAnsi="Times New Roman"/>
          <w:sz w:val="24"/>
          <w:szCs w:val="24"/>
        </w:rPr>
        <w:t>estudiantes de enfermería vi</w:t>
      </w:r>
      <w:r w:rsidR="009832D2" w:rsidRPr="00AB398F">
        <w:rPr>
          <w:rFonts w:ascii="Times New Roman" w:hAnsi="Times New Roman"/>
          <w:sz w:val="24"/>
          <w:szCs w:val="24"/>
        </w:rPr>
        <w:t>e</w:t>
      </w:r>
      <w:r w:rsidR="00406888" w:rsidRPr="00AB398F">
        <w:rPr>
          <w:rFonts w:ascii="Times New Roman" w:hAnsi="Times New Roman"/>
          <w:sz w:val="24"/>
          <w:szCs w:val="24"/>
        </w:rPr>
        <w:t xml:space="preserve">tnamitas se </w:t>
      </w:r>
      <w:r w:rsidR="009832D2" w:rsidRPr="00AB398F">
        <w:rPr>
          <w:rFonts w:ascii="Times New Roman" w:hAnsi="Times New Roman"/>
          <w:sz w:val="24"/>
          <w:szCs w:val="24"/>
        </w:rPr>
        <w:t>matricula</w:t>
      </w:r>
      <w:r w:rsidR="00406888" w:rsidRPr="00AB398F">
        <w:rPr>
          <w:rFonts w:ascii="Times New Roman" w:hAnsi="Times New Roman"/>
          <w:sz w:val="24"/>
          <w:szCs w:val="24"/>
        </w:rPr>
        <w:t>ron</w:t>
      </w:r>
      <w:r w:rsidR="009832D2" w:rsidRPr="00AB398F">
        <w:rPr>
          <w:rFonts w:ascii="Times New Roman" w:hAnsi="Times New Roman"/>
          <w:sz w:val="24"/>
          <w:szCs w:val="24"/>
        </w:rPr>
        <w:t xml:space="preserve"> en </w:t>
      </w:r>
      <w:r w:rsidR="00A135A8" w:rsidRPr="00AB398F">
        <w:rPr>
          <w:rFonts w:ascii="Times New Roman" w:hAnsi="Times New Roman"/>
          <w:sz w:val="24"/>
          <w:szCs w:val="24"/>
        </w:rPr>
        <w:t>el curr</w:t>
      </w:r>
      <w:r w:rsidR="00406888" w:rsidRPr="00AB398F">
        <w:rPr>
          <w:rFonts w:ascii="Times New Roman" w:hAnsi="Times New Roman"/>
          <w:sz w:val="24"/>
          <w:szCs w:val="24"/>
        </w:rPr>
        <w:t xml:space="preserve">ículo virtual maleable </w:t>
      </w:r>
      <w:r w:rsidR="00E55F51" w:rsidRPr="00AB398F">
        <w:rPr>
          <w:rFonts w:ascii="Times New Roman" w:hAnsi="Times New Roman"/>
          <w:sz w:val="24"/>
          <w:szCs w:val="24"/>
        </w:rPr>
        <w:t>de</w:t>
      </w:r>
      <w:r w:rsidR="00A135A8" w:rsidRPr="00AB398F">
        <w:rPr>
          <w:rFonts w:ascii="Times New Roman" w:hAnsi="Times New Roman"/>
          <w:sz w:val="24"/>
          <w:szCs w:val="24"/>
        </w:rPr>
        <w:t xml:space="preserve"> </w:t>
      </w:r>
      <w:r w:rsidR="00A135A8" w:rsidRPr="00AB398F">
        <w:rPr>
          <w:rFonts w:ascii="Times New Roman" w:hAnsi="Times New Roman"/>
          <w:i/>
          <w:sz w:val="24"/>
          <w:szCs w:val="24"/>
        </w:rPr>
        <w:t xml:space="preserve">Queensland University </w:t>
      </w:r>
      <w:proofErr w:type="spellStart"/>
      <w:r w:rsidR="00A135A8" w:rsidRPr="00AB398F">
        <w:rPr>
          <w:rFonts w:ascii="Times New Roman" w:hAnsi="Times New Roman"/>
          <w:i/>
          <w:sz w:val="24"/>
          <w:szCs w:val="24"/>
        </w:rPr>
        <w:t>Technology</w:t>
      </w:r>
      <w:proofErr w:type="spellEnd"/>
      <w:r w:rsidR="00A135A8" w:rsidRPr="00AB398F">
        <w:rPr>
          <w:rFonts w:ascii="Times New Roman" w:hAnsi="Times New Roman"/>
          <w:sz w:val="24"/>
          <w:szCs w:val="24"/>
        </w:rPr>
        <w:t xml:space="preserve">.  </w:t>
      </w:r>
      <w:r w:rsidR="003039C6" w:rsidRPr="00AB398F">
        <w:rPr>
          <w:rFonts w:ascii="Times New Roman" w:hAnsi="Times New Roman"/>
          <w:sz w:val="24"/>
          <w:szCs w:val="24"/>
        </w:rPr>
        <w:t>El enfoque flexible</w:t>
      </w:r>
      <w:r w:rsidR="00A135A8" w:rsidRPr="00AB398F">
        <w:rPr>
          <w:rFonts w:ascii="Times New Roman" w:hAnsi="Times New Roman"/>
          <w:sz w:val="24"/>
          <w:szCs w:val="24"/>
        </w:rPr>
        <w:t>, centrado en el estudiante y enfatizando las destrezas de enfermería,</w:t>
      </w:r>
      <w:r w:rsidR="003039C6" w:rsidRPr="00AB398F">
        <w:rPr>
          <w:rFonts w:ascii="Times New Roman" w:hAnsi="Times New Roman"/>
          <w:sz w:val="24"/>
          <w:szCs w:val="24"/>
        </w:rPr>
        <w:t xml:space="preserve"> se encontraba constituido de seis módulos, cada uno </w:t>
      </w:r>
      <w:r w:rsidR="00A135A8" w:rsidRPr="00AB398F">
        <w:rPr>
          <w:rFonts w:ascii="Times New Roman" w:hAnsi="Times New Roman"/>
          <w:sz w:val="24"/>
          <w:szCs w:val="24"/>
        </w:rPr>
        <w:t xml:space="preserve">con estrategias instruccionales (lecturas, </w:t>
      </w:r>
      <w:r w:rsidR="005202FB" w:rsidRPr="00AB398F">
        <w:rPr>
          <w:rFonts w:ascii="Times New Roman" w:hAnsi="Times New Roman"/>
          <w:sz w:val="24"/>
          <w:szCs w:val="24"/>
        </w:rPr>
        <w:t xml:space="preserve">videos digitales, </w:t>
      </w:r>
      <w:r w:rsidR="00A135A8" w:rsidRPr="00AB398F">
        <w:rPr>
          <w:rFonts w:ascii="Times New Roman" w:hAnsi="Times New Roman"/>
          <w:sz w:val="24"/>
          <w:szCs w:val="24"/>
        </w:rPr>
        <w:t>enlaces</w:t>
      </w:r>
      <w:r w:rsidR="005202FB" w:rsidRPr="00AB398F">
        <w:rPr>
          <w:rFonts w:ascii="Times New Roman" w:hAnsi="Times New Roman"/>
          <w:sz w:val="24"/>
          <w:szCs w:val="24"/>
        </w:rPr>
        <w:t xml:space="preserve"> a recursos externos, foros</w:t>
      </w:r>
      <w:r w:rsidR="004643F3" w:rsidRPr="00AB398F">
        <w:rPr>
          <w:rFonts w:ascii="Times New Roman" w:hAnsi="Times New Roman"/>
          <w:sz w:val="24"/>
          <w:szCs w:val="24"/>
        </w:rPr>
        <w:t xml:space="preserve"> de discusión</w:t>
      </w:r>
      <w:r w:rsidR="005202FB" w:rsidRPr="00AB398F">
        <w:rPr>
          <w:rFonts w:ascii="Times New Roman" w:hAnsi="Times New Roman"/>
          <w:sz w:val="24"/>
          <w:szCs w:val="24"/>
        </w:rPr>
        <w:t xml:space="preserve">, </w:t>
      </w:r>
      <w:r w:rsidR="00A135A8" w:rsidRPr="00AB398F">
        <w:rPr>
          <w:rFonts w:ascii="Times New Roman" w:hAnsi="Times New Roman"/>
          <w:sz w:val="24"/>
          <w:szCs w:val="24"/>
        </w:rPr>
        <w:t xml:space="preserve">reflexiones) y </w:t>
      </w:r>
      <w:r w:rsidR="005202FB" w:rsidRPr="00AB398F">
        <w:rPr>
          <w:rFonts w:ascii="Times New Roman" w:hAnsi="Times New Roman"/>
          <w:sz w:val="24"/>
          <w:szCs w:val="24"/>
        </w:rPr>
        <w:t>actividades</w:t>
      </w:r>
      <w:r w:rsidR="00A135A8" w:rsidRPr="00AB398F">
        <w:rPr>
          <w:rFonts w:ascii="Times New Roman" w:hAnsi="Times New Roman"/>
          <w:sz w:val="24"/>
          <w:szCs w:val="24"/>
        </w:rPr>
        <w:t xml:space="preserve"> de aval</w:t>
      </w:r>
      <w:r w:rsidR="005202FB" w:rsidRPr="00AB398F">
        <w:rPr>
          <w:rFonts w:ascii="Times New Roman" w:hAnsi="Times New Roman"/>
          <w:sz w:val="24"/>
          <w:szCs w:val="24"/>
        </w:rPr>
        <w:t>úo</w:t>
      </w:r>
      <w:r w:rsidR="00406888" w:rsidRPr="00AB398F">
        <w:rPr>
          <w:rFonts w:ascii="Times New Roman" w:hAnsi="Times New Roman"/>
          <w:sz w:val="24"/>
          <w:szCs w:val="24"/>
        </w:rPr>
        <w:t xml:space="preserve">.  </w:t>
      </w:r>
      <w:r w:rsidR="004643F3" w:rsidRPr="00AB398F">
        <w:rPr>
          <w:rFonts w:ascii="Times New Roman" w:hAnsi="Times New Roman"/>
          <w:sz w:val="24"/>
          <w:szCs w:val="24"/>
        </w:rPr>
        <w:t>Lewis et al.</w:t>
      </w:r>
      <w:r w:rsidR="00406888" w:rsidRPr="00AB398F">
        <w:rPr>
          <w:rFonts w:ascii="Times New Roman" w:hAnsi="Times New Roman"/>
          <w:sz w:val="24"/>
          <w:szCs w:val="24"/>
        </w:rPr>
        <w:t xml:space="preserve"> (2016) </w:t>
      </w:r>
      <w:r w:rsidR="004643F3" w:rsidRPr="00AB398F">
        <w:rPr>
          <w:rFonts w:ascii="Times New Roman" w:hAnsi="Times New Roman"/>
          <w:sz w:val="24"/>
          <w:szCs w:val="24"/>
        </w:rPr>
        <w:t>hallaron que la mayoría de los alumnos, seleccionado para tal investigación, mostraron actitudes satisfactorias ante los módulos virtuales de aprendizaje incorporados en el</w:t>
      </w:r>
      <w:r w:rsidR="00406888" w:rsidRPr="00AB398F">
        <w:rPr>
          <w:rFonts w:ascii="Times New Roman" w:hAnsi="Times New Roman"/>
          <w:sz w:val="24"/>
          <w:szCs w:val="24"/>
        </w:rPr>
        <w:t xml:space="preserve"> </w:t>
      </w:r>
      <w:r w:rsidR="004643F3" w:rsidRPr="00AB398F">
        <w:rPr>
          <w:rFonts w:ascii="Times New Roman" w:hAnsi="Times New Roman"/>
          <w:sz w:val="24"/>
          <w:szCs w:val="24"/>
        </w:rPr>
        <w:t>curr</w:t>
      </w:r>
      <w:r w:rsidR="00E55F51" w:rsidRPr="00AB398F">
        <w:rPr>
          <w:rFonts w:ascii="Times New Roman" w:hAnsi="Times New Roman"/>
          <w:sz w:val="24"/>
          <w:szCs w:val="24"/>
        </w:rPr>
        <w:t xml:space="preserve">ículo flexible.  En otro </w:t>
      </w:r>
      <w:r w:rsidR="004643F3" w:rsidRPr="00AB398F">
        <w:rPr>
          <w:rFonts w:ascii="Times New Roman" w:hAnsi="Times New Roman"/>
          <w:sz w:val="24"/>
          <w:szCs w:val="24"/>
        </w:rPr>
        <w:t>estudio, el modelo flexible en los contextos virtuales, Ortega Ferreira y Moreno Salamanca (2014) encontraron que redujo</w:t>
      </w:r>
      <w:r w:rsidR="00586F77" w:rsidRPr="00AB398F">
        <w:rPr>
          <w:rFonts w:ascii="Times New Roman" w:hAnsi="Times New Roman"/>
          <w:sz w:val="24"/>
          <w:szCs w:val="24"/>
        </w:rPr>
        <w:t xml:space="preserve"> la deserción de asignaturas en línea</w:t>
      </w:r>
      <w:r w:rsidR="007E7F0E" w:rsidRPr="00AB398F">
        <w:rPr>
          <w:rFonts w:ascii="Times New Roman" w:hAnsi="Times New Roman"/>
          <w:sz w:val="24"/>
          <w:szCs w:val="24"/>
        </w:rPr>
        <w:t>.</w:t>
      </w:r>
      <w:r w:rsidR="00A71313" w:rsidRPr="00AB398F">
        <w:rPr>
          <w:rFonts w:ascii="Times New Roman" w:hAnsi="Times New Roman"/>
          <w:sz w:val="24"/>
          <w:szCs w:val="24"/>
        </w:rPr>
        <w:t xml:space="preserve">  Con una muestra de 44 estudiantes, los grupos bajo </w:t>
      </w:r>
      <w:r w:rsidR="00B22901" w:rsidRPr="00AB398F">
        <w:rPr>
          <w:rFonts w:ascii="Times New Roman" w:hAnsi="Times New Roman"/>
          <w:sz w:val="24"/>
          <w:szCs w:val="24"/>
        </w:rPr>
        <w:t xml:space="preserve">esta </w:t>
      </w:r>
      <w:r w:rsidR="00A71313" w:rsidRPr="00AB398F">
        <w:rPr>
          <w:rFonts w:ascii="Times New Roman" w:hAnsi="Times New Roman"/>
          <w:sz w:val="24"/>
          <w:szCs w:val="24"/>
        </w:rPr>
        <w:t>investigación se dividieron equitativamente en un enfoque flexible</w:t>
      </w:r>
      <w:r w:rsidR="00AB239F" w:rsidRPr="00AB398F">
        <w:rPr>
          <w:rFonts w:ascii="Times New Roman" w:hAnsi="Times New Roman"/>
          <w:sz w:val="24"/>
          <w:szCs w:val="24"/>
        </w:rPr>
        <w:t xml:space="preserve"> (variable independiente)</w:t>
      </w:r>
      <w:r w:rsidR="00A71313" w:rsidRPr="00AB398F">
        <w:rPr>
          <w:rFonts w:ascii="Times New Roman" w:hAnsi="Times New Roman"/>
          <w:sz w:val="24"/>
          <w:szCs w:val="24"/>
        </w:rPr>
        <w:t xml:space="preserve"> y otro bajo </w:t>
      </w:r>
      <w:r w:rsidR="00AB239F" w:rsidRPr="00AB398F">
        <w:rPr>
          <w:rFonts w:ascii="Times New Roman" w:hAnsi="Times New Roman"/>
          <w:sz w:val="24"/>
          <w:szCs w:val="24"/>
        </w:rPr>
        <w:t>el</w:t>
      </w:r>
      <w:r w:rsidR="00A71313" w:rsidRPr="00AB398F">
        <w:rPr>
          <w:rFonts w:ascii="Times New Roman" w:hAnsi="Times New Roman"/>
          <w:sz w:val="24"/>
          <w:szCs w:val="24"/>
        </w:rPr>
        <w:t xml:space="preserve"> entorno virtual tradicional (rígido</w:t>
      </w:r>
      <w:r w:rsidR="00B22901" w:rsidRPr="00AB398F">
        <w:rPr>
          <w:rFonts w:ascii="Times New Roman" w:hAnsi="Times New Roman"/>
          <w:sz w:val="24"/>
          <w:szCs w:val="24"/>
        </w:rPr>
        <w:t>, var</w:t>
      </w:r>
      <w:r w:rsidR="0094071F" w:rsidRPr="00AB398F">
        <w:rPr>
          <w:rFonts w:ascii="Times New Roman" w:hAnsi="Times New Roman"/>
          <w:sz w:val="24"/>
          <w:szCs w:val="24"/>
        </w:rPr>
        <w:t>iable dependiente</w:t>
      </w:r>
      <w:r w:rsidR="00A71313" w:rsidRPr="00AB398F">
        <w:rPr>
          <w:rFonts w:ascii="Times New Roman" w:hAnsi="Times New Roman"/>
          <w:sz w:val="24"/>
          <w:szCs w:val="24"/>
        </w:rPr>
        <w:t>)</w:t>
      </w:r>
      <w:r w:rsidR="00AB239F" w:rsidRPr="00AB398F">
        <w:rPr>
          <w:rFonts w:ascii="Times New Roman" w:hAnsi="Times New Roman"/>
          <w:sz w:val="24"/>
          <w:szCs w:val="24"/>
        </w:rPr>
        <w:t>, ambos inmersos en un curr</w:t>
      </w:r>
      <w:r w:rsidR="0094071F" w:rsidRPr="00AB398F">
        <w:rPr>
          <w:rFonts w:ascii="Times New Roman" w:hAnsi="Times New Roman"/>
          <w:sz w:val="24"/>
          <w:szCs w:val="24"/>
        </w:rPr>
        <w:t>ículo de humanidade</w:t>
      </w:r>
      <w:r w:rsidR="00AB239F" w:rsidRPr="00AB398F">
        <w:rPr>
          <w:rFonts w:ascii="Times New Roman" w:hAnsi="Times New Roman"/>
          <w:sz w:val="24"/>
          <w:szCs w:val="24"/>
        </w:rPr>
        <w:t>s</w:t>
      </w:r>
      <w:r w:rsidR="0094071F" w:rsidRPr="00AB398F">
        <w:rPr>
          <w:rFonts w:ascii="Times New Roman" w:hAnsi="Times New Roman"/>
          <w:sz w:val="24"/>
          <w:szCs w:val="24"/>
        </w:rPr>
        <w:t xml:space="preserve">, ofrecido </w:t>
      </w:r>
      <w:r w:rsidR="008539F9" w:rsidRPr="00AB398F">
        <w:rPr>
          <w:rFonts w:ascii="Times New Roman" w:hAnsi="Times New Roman"/>
          <w:sz w:val="24"/>
          <w:szCs w:val="24"/>
        </w:rPr>
        <w:t>por</w:t>
      </w:r>
      <w:r w:rsidR="0094071F" w:rsidRPr="00AB398F">
        <w:rPr>
          <w:rFonts w:ascii="Times New Roman" w:hAnsi="Times New Roman"/>
          <w:sz w:val="24"/>
          <w:szCs w:val="24"/>
        </w:rPr>
        <w:t xml:space="preserve"> la Un</w:t>
      </w:r>
      <w:r w:rsidR="00B22901" w:rsidRPr="00AB398F">
        <w:rPr>
          <w:rFonts w:ascii="Times New Roman" w:hAnsi="Times New Roman"/>
          <w:sz w:val="24"/>
          <w:szCs w:val="24"/>
        </w:rPr>
        <w:t>i</w:t>
      </w:r>
      <w:r w:rsidR="0094071F" w:rsidRPr="00AB398F">
        <w:rPr>
          <w:rFonts w:ascii="Times New Roman" w:hAnsi="Times New Roman"/>
          <w:sz w:val="24"/>
          <w:szCs w:val="24"/>
        </w:rPr>
        <w:t xml:space="preserve">versidad de EAN, México.  Los sujetos en el escenario </w:t>
      </w:r>
      <w:proofErr w:type="gramStart"/>
      <w:r w:rsidR="0094071F" w:rsidRPr="00AB398F">
        <w:rPr>
          <w:rFonts w:ascii="Times New Roman" w:hAnsi="Times New Roman"/>
          <w:sz w:val="24"/>
          <w:szCs w:val="24"/>
        </w:rPr>
        <w:t>flexible,</w:t>
      </w:r>
      <w:proofErr w:type="gramEnd"/>
      <w:r w:rsidR="0094071F" w:rsidRPr="00AB398F">
        <w:rPr>
          <w:rFonts w:ascii="Times New Roman" w:hAnsi="Times New Roman"/>
          <w:sz w:val="24"/>
          <w:szCs w:val="24"/>
        </w:rPr>
        <w:t xml:space="preserve"> contaban con el acceso </w:t>
      </w:r>
      <w:r w:rsidR="00B22901" w:rsidRPr="00AB398F">
        <w:rPr>
          <w:rFonts w:ascii="Times New Roman" w:hAnsi="Times New Roman"/>
          <w:sz w:val="24"/>
          <w:szCs w:val="24"/>
        </w:rPr>
        <w:t>a objetos virtuales de aprendizaje</w:t>
      </w:r>
      <w:r w:rsidR="00CC5FFD" w:rsidRPr="00AB398F">
        <w:rPr>
          <w:rFonts w:ascii="Times New Roman" w:hAnsi="Times New Roman"/>
          <w:sz w:val="24"/>
          <w:szCs w:val="24"/>
        </w:rPr>
        <w:t xml:space="preserve">, </w:t>
      </w:r>
      <w:r w:rsidR="00F81776" w:rsidRPr="00AB398F">
        <w:rPr>
          <w:rFonts w:ascii="Times New Roman" w:hAnsi="Times New Roman"/>
          <w:sz w:val="24"/>
          <w:szCs w:val="24"/>
        </w:rPr>
        <w:t>con la opción de trabajar foros de discusión de carácter argumentativo, así como participar en equipos colaborativos o individual, y re</w:t>
      </w:r>
      <w:r w:rsidR="008539F9" w:rsidRPr="00AB398F">
        <w:rPr>
          <w:rFonts w:ascii="Times New Roman" w:hAnsi="Times New Roman"/>
          <w:sz w:val="24"/>
          <w:szCs w:val="24"/>
        </w:rPr>
        <w:t>visar lecturas complementarias</w:t>
      </w:r>
      <w:r w:rsidR="00CC5FFD" w:rsidRPr="00AB398F">
        <w:rPr>
          <w:rFonts w:ascii="Times New Roman" w:hAnsi="Times New Roman"/>
          <w:sz w:val="24"/>
          <w:szCs w:val="24"/>
        </w:rPr>
        <w:t xml:space="preserve"> (Ortega Ferreira &amp; Moreno Salamanca, 2014).  En conclusión, </w:t>
      </w:r>
      <w:r w:rsidR="00F81776" w:rsidRPr="00AB398F">
        <w:rPr>
          <w:rFonts w:ascii="Times New Roman" w:hAnsi="Times New Roman"/>
          <w:sz w:val="24"/>
          <w:szCs w:val="24"/>
        </w:rPr>
        <w:t>estas investigaciones valida</w:t>
      </w:r>
      <w:r w:rsidR="008539F9" w:rsidRPr="00AB398F">
        <w:rPr>
          <w:rFonts w:ascii="Times New Roman" w:hAnsi="Times New Roman"/>
          <w:sz w:val="24"/>
          <w:szCs w:val="24"/>
        </w:rPr>
        <w:t>n</w:t>
      </w:r>
      <w:r w:rsidR="00F81776" w:rsidRPr="00AB398F">
        <w:rPr>
          <w:rFonts w:ascii="Times New Roman" w:hAnsi="Times New Roman"/>
          <w:sz w:val="24"/>
          <w:szCs w:val="24"/>
        </w:rPr>
        <w:t xml:space="preserve"> la</w:t>
      </w:r>
      <w:r w:rsidR="00CC5FFD" w:rsidRPr="00AB398F">
        <w:rPr>
          <w:rFonts w:ascii="Times New Roman" w:hAnsi="Times New Roman"/>
          <w:sz w:val="24"/>
          <w:szCs w:val="24"/>
        </w:rPr>
        <w:t xml:space="preserve"> efectividad del currículo flexible</w:t>
      </w:r>
      <w:r w:rsidR="00F81776" w:rsidRPr="00AB398F">
        <w:rPr>
          <w:rFonts w:ascii="Times New Roman" w:hAnsi="Times New Roman"/>
          <w:sz w:val="24"/>
          <w:szCs w:val="24"/>
        </w:rPr>
        <w:t xml:space="preserve">, según descrito por </w:t>
      </w:r>
      <w:proofErr w:type="spellStart"/>
      <w:r w:rsidR="00F81776" w:rsidRPr="00AB398F">
        <w:rPr>
          <w:rFonts w:ascii="Times New Roman" w:hAnsi="Times New Roman"/>
          <w:sz w:val="24"/>
          <w:szCs w:val="24"/>
        </w:rPr>
        <w:t>Oyeleke</w:t>
      </w:r>
      <w:proofErr w:type="spellEnd"/>
      <w:r w:rsidR="00F81776" w:rsidRPr="00AB398F">
        <w:rPr>
          <w:rFonts w:ascii="Times New Roman" w:hAnsi="Times New Roman"/>
          <w:sz w:val="24"/>
          <w:szCs w:val="24"/>
        </w:rPr>
        <w:t>, et al. (2015).</w:t>
      </w:r>
    </w:p>
    <w:p w14:paraId="60AF6423" w14:textId="77777777" w:rsidR="00622431" w:rsidRPr="00AB398F" w:rsidRDefault="000A164C" w:rsidP="000A164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B398F">
        <w:rPr>
          <w:rFonts w:ascii="Times New Roman" w:hAnsi="Times New Roman"/>
          <w:sz w:val="24"/>
          <w:szCs w:val="24"/>
        </w:rPr>
        <w:tab/>
      </w:r>
      <w:r w:rsidR="00622431" w:rsidRPr="00AB398F">
        <w:rPr>
          <w:rFonts w:ascii="Times New Roman" w:hAnsi="Times New Roman"/>
          <w:sz w:val="24"/>
          <w:szCs w:val="24"/>
        </w:rPr>
        <w:t xml:space="preserve">En otra </w:t>
      </w:r>
      <w:r w:rsidR="00A51B50" w:rsidRPr="00AB398F">
        <w:rPr>
          <w:rFonts w:ascii="Times New Roman" w:hAnsi="Times New Roman"/>
          <w:sz w:val="24"/>
          <w:szCs w:val="24"/>
        </w:rPr>
        <w:t>materia</w:t>
      </w:r>
      <w:r w:rsidR="00622431" w:rsidRPr="00AB398F">
        <w:rPr>
          <w:rFonts w:ascii="Times New Roman" w:hAnsi="Times New Roman"/>
          <w:sz w:val="24"/>
          <w:szCs w:val="24"/>
        </w:rPr>
        <w:t xml:space="preserve"> </w:t>
      </w:r>
      <w:r w:rsidR="00005BA9" w:rsidRPr="00AB398F">
        <w:rPr>
          <w:rFonts w:ascii="Times New Roman" w:hAnsi="Times New Roman"/>
          <w:sz w:val="24"/>
          <w:szCs w:val="24"/>
        </w:rPr>
        <w:t>de análisis, e</w:t>
      </w:r>
      <w:r w:rsidRPr="00AB398F">
        <w:rPr>
          <w:rFonts w:ascii="Times New Roman" w:hAnsi="Times New Roman"/>
          <w:sz w:val="24"/>
          <w:szCs w:val="24"/>
        </w:rPr>
        <w:t xml:space="preserve">l modelo instructivo, descrito por </w:t>
      </w:r>
      <w:proofErr w:type="spellStart"/>
      <w:r w:rsidRPr="00AB398F">
        <w:rPr>
          <w:rFonts w:ascii="Times New Roman" w:hAnsi="Times New Roman"/>
          <w:sz w:val="24"/>
          <w:szCs w:val="24"/>
        </w:rPr>
        <w:t>Oyeleke</w:t>
      </w:r>
      <w:proofErr w:type="spellEnd"/>
      <w:r w:rsidRPr="00AB398F">
        <w:rPr>
          <w:rFonts w:ascii="Times New Roman" w:hAnsi="Times New Roman"/>
          <w:sz w:val="24"/>
          <w:szCs w:val="24"/>
        </w:rPr>
        <w:t>, et al. (2015), define con precisión la gestión pedagógica necesaria para implementar actividades interactivas, en tiempo real (cara a cara) y diferido; sin embargo, no contempla las necesidades particulares de los contextos socio culturales de los estudiantes.</w:t>
      </w:r>
      <w:r w:rsidR="00622431" w:rsidRPr="00AB398F">
        <w:rPr>
          <w:rFonts w:ascii="Times New Roman" w:hAnsi="Times New Roman"/>
          <w:sz w:val="24"/>
          <w:szCs w:val="24"/>
        </w:rPr>
        <w:t xml:space="preserve"> El</w:t>
      </w:r>
      <w:r w:rsidRPr="00AB398F">
        <w:rPr>
          <w:rFonts w:ascii="Times New Roman" w:hAnsi="Times New Roman"/>
          <w:sz w:val="24"/>
          <w:szCs w:val="24"/>
        </w:rPr>
        <w:t xml:space="preserve"> esquema</w:t>
      </w:r>
      <w:r w:rsidR="000B1C41" w:rsidRPr="00AB398F">
        <w:rPr>
          <w:rFonts w:ascii="Times New Roman" w:hAnsi="Times New Roman"/>
          <w:sz w:val="24"/>
          <w:szCs w:val="24"/>
        </w:rPr>
        <w:t xml:space="preserve"> instructivo</w:t>
      </w:r>
      <w:r w:rsidR="00622431" w:rsidRPr="00AB398F">
        <w:rPr>
          <w:rFonts w:ascii="Times New Roman" w:hAnsi="Times New Roman"/>
          <w:sz w:val="24"/>
          <w:szCs w:val="24"/>
        </w:rPr>
        <w:t xml:space="preserve"> descrito por los </w:t>
      </w:r>
      <w:proofErr w:type="gramStart"/>
      <w:r w:rsidR="00622431" w:rsidRPr="00AB398F">
        <w:rPr>
          <w:rFonts w:ascii="Times New Roman" w:hAnsi="Times New Roman"/>
          <w:sz w:val="24"/>
          <w:szCs w:val="24"/>
        </w:rPr>
        <w:t>autores</w:t>
      </w:r>
      <w:r w:rsidR="000B1C41" w:rsidRPr="00AB398F">
        <w:rPr>
          <w:rFonts w:ascii="Times New Roman" w:hAnsi="Times New Roman"/>
          <w:sz w:val="24"/>
          <w:szCs w:val="24"/>
        </w:rPr>
        <w:t>,</w:t>
      </w:r>
      <w:proofErr w:type="gramEnd"/>
      <w:r w:rsidR="000B1C41" w:rsidRPr="00AB398F">
        <w:rPr>
          <w:rFonts w:ascii="Times New Roman" w:hAnsi="Times New Roman"/>
          <w:sz w:val="24"/>
          <w:szCs w:val="24"/>
        </w:rPr>
        <w:t xml:space="preserve"> </w:t>
      </w:r>
      <w:r w:rsidR="000B1C41" w:rsidRPr="00AB398F">
        <w:rPr>
          <w:rFonts w:ascii="Times New Roman" w:hAnsi="Times New Roman"/>
          <w:sz w:val="24"/>
          <w:szCs w:val="24"/>
        </w:rPr>
        <w:lastRenderedPageBreak/>
        <w:t xml:space="preserve">consiste de </w:t>
      </w:r>
      <w:r w:rsidR="00AF4FB1" w:rsidRPr="00AB398F">
        <w:rPr>
          <w:rFonts w:ascii="Times New Roman" w:hAnsi="Times New Roman"/>
          <w:sz w:val="24"/>
          <w:szCs w:val="24"/>
        </w:rPr>
        <w:t>seis</w:t>
      </w:r>
      <w:r w:rsidRPr="00AB398F">
        <w:rPr>
          <w:rFonts w:ascii="Times New Roman" w:hAnsi="Times New Roman"/>
          <w:sz w:val="24"/>
          <w:szCs w:val="24"/>
        </w:rPr>
        <w:t xml:space="preserve"> prácticas sincrónicas y asincrónicas, que son:</w:t>
      </w:r>
      <w:r w:rsidR="00622431" w:rsidRPr="00AB398F">
        <w:rPr>
          <w:rFonts w:ascii="Times New Roman" w:hAnsi="Times New Roman"/>
          <w:sz w:val="24"/>
          <w:szCs w:val="24"/>
        </w:rPr>
        <w:t xml:space="preserve"> </w:t>
      </w:r>
      <w:r w:rsidRPr="00AB398F">
        <w:rPr>
          <w:rFonts w:ascii="Times New Roman" w:hAnsi="Times New Roman"/>
          <w:sz w:val="24"/>
          <w:szCs w:val="24"/>
        </w:rPr>
        <w:t>1) actividades educativas sincrónicas, 2) distribución de lite</w:t>
      </w:r>
      <w:r w:rsidR="00622431" w:rsidRPr="00AB398F">
        <w:rPr>
          <w:rFonts w:ascii="Times New Roman" w:hAnsi="Times New Roman"/>
          <w:sz w:val="24"/>
          <w:szCs w:val="24"/>
        </w:rPr>
        <w:t>ratura académica en tiempo real, 3) foros asincrónicos,</w:t>
      </w:r>
    </w:p>
    <w:p w14:paraId="43A18A4D" w14:textId="77777777" w:rsidR="00622431" w:rsidRPr="00AB398F" w:rsidRDefault="00622431" w:rsidP="000A164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B398F">
        <w:rPr>
          <w:rFonts w:ascii="Times New Roman" w:hAnsi="Times New Roman"/>
          <w:sz w:val="24"/>
          <w:szCs w:val="24"/>
        </w:rPr>
        <w:t xml:space="preserve">4) </w:t>
      </w:r>
      <w:r w:rsidR="000A164C" w:rsidRPr="00AB398F">
        <w:rPr>
          <w:rFonts w:ascii="Times New Roman" w:hAnsi="Times New Roman"/>
          <w:sz w:val="24"/>
          <w:szCs w:val="24"/>
        </w:rPr>
        <w:t>aprendizaje colabor</w:t>
      </w:r>
      <w:r w:rsidRPr="00AB398F">
        <w:rPr>
          <w:rFonts w:ascii="Times New Roman" w:hAnsi="Times New Roman"/>
          <w:sz w:val="24"/>
          <w:szCs w:val="24"/>
        </w:rPr>
        <w:t>ativo y cooperativo asincrónico,</w:t>
      </w:r>
      <w:r w:rsidR="000A164C" w:rsidRPr="00AB398F">
        <w:rPr>
          <w:rFonts w:ascii="Times New Roman" w:hAnsi="Times New Roman"/>
          <w:sz w:val="24"/>
          <w:szCs w:val="24"/>
        </w:rPr>
        <w:t xml:space="preserve"> 5) protocolos de avalúo asincrónicos, y</w:t>
      </w:r>
    </w:p>
    <w:p w14:paraId="274381EB" w14:textId="77777777" w:rsidR="008635A6" w:rsidRPr="00AB398F" w:rsidRDefault="000A164C" w:rsidP="000A164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B398F">
        <w:rPr>
          <w:rFonts w:ascii="Times New Roman" w:hAnsi="Times New Roman"/>
          <w:sz w:val="24"/>
          <w:szCs w:val="24"/>
        </w:rPr>
        <w:t>6) procesos evaluativos sincrónicos (</w:t>
      </w:r>
      <w:proofErr w:type="spellStart"/>
      <w:r w:rsidRPr="00AB398F">
        <w:rPr>
          <w:rFonts w:ascii="Times New Roman" w:hAnsi="Times New Roman"/>
          <w:sz w:val="24"/>
          <w:szCs w:val="24"/>
        </w:rPr>
        <w:t>Oyeleke</w:t>
      </w:r>
      <w:proofErr w:type="spellEnd"/>
      <w:r w:rsidRPr="00AB398F">
        <w:rPr>
          <w:rFonts w:ascii="Times New Roman" w:hAnsi="Times New Roman"/>
          <w:sz w:val="24"/>
          <w:szCs w:val="24"/>
        </w:rPr>
        <w:t>, et al., 2015).  Tale</w:t>
      </w:r>
      <w:r w:rsidR="00BB1B14" w:rsidRPr="00AB398F">
        <w:rPr>
          <w:rFonts w:ascii="Times New Roman" w:hAnsi="Times New Roman"/>
          <w:sz w:val="24"/>
          <w:szCs w:val="24"/>
        </w:rPr>
        <w:t>s</w:t>
      </w:r>
      <w:r w:rsidRPr="00AB398F">
        <w:rPr>
          <w:rFonts w:ascii="Times New Roman" w:hAnsi="Times New Roman"/>
          <w:sz w:val="24"/>
          <w:szCs w:val="24"/>
        </w:rPr>
        <w:t xml:space="preserve"> elementos, que forman parte del diseño instructivo, se transmiten vía cara a cara, a través de la publicación de páginas WWW educativas, foros de discusión, mensajería electrónica, </w:t>
      </w:r>
      <w:proofErr w:type="gramStart"/>
      <w:r w:rsidRPr="00AB398F">
        <w:rPr>
          <w:rFonts w:ascii="Times New Roman" w:hAnsi="Times New Roman"/>
          <w:sz w:val="24"/>
          <w:szCs w:val="24"/>
        </w:rPr>
        <w:t>video-conferencia</w:t>
      </w:r>
      <w:proofErr w:type="gramEnd"/>
      <w:r w:rsidRPr="00AB398F">
        <w:rPr>
          <w:rFonts w:ascii="Times New Roman" w:hAnsi="Times New Roman"/>
          <w:sz w:val="24"/>
          <w:szCs w:val="24"/>
        </w:rPr>
        <w:t xml:space="preserve"> en línea y otros medios de telecomunicaciones.</w:t>
      </w:r>
    </w:p>
    <w:p w14:paraId="63DBD4F5" w14:textId="77777777" w:rsidR="00D76598" w:rsidRPr="00AB398F" w:rsidRDefault="00214737" w:rsidP="00D76598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 w:rsidRPr="00AB398F">
        <w:rPr>
          <w:rFonts w:ascii="Times New Roman" w:hAnsi="Times New Roman"/>
          <w:sz w:val="24"/>
          <w:szCs w:val="24"/>
        </w:rPr>
        <w:t xml:space="preserve">Otros autores parecen seguir la misma línea que </w:t>
      </w:r>
      <w:proofErr w:type="spellStart"/>
      <w:r w:rsidRPr="00AB398F">
        <w:rPr>
          <w:rFonts w:ascii="Times New Roman" w:hAnsi="Times New Roman"/>
          <w:sz w:val="24"/>
          <w:szCs w:val="24"/>
        </w:rPr>
        <w:t>Oyeleke</w:t>
      </w:r>
      <w:proofErr w:type="spellEnd"/>
      <w:r w:rsidRPr="00AB398F">
        <w:rPr>
          <w:rFonts w:ascii="Times New Roman" w:hAnsi="Times New Roman"/>
          <w:sz w:val="24"/>
          <w:szCs w:val="24"/>
        </w:rPr>
        <w:t>, et al. (2015).  Por ejemplo, e</w:t>
      </w:r>
      <w:r w:rsidR="000A164C" w:rsidRPr="00AB398F">
        <w:rPr>
          <w:rFonts w:ascii="Times New Roman" w:hAnsi="Times New Roman"/>
          <w:sz w:val="24"/>
          <w:szCs w:val="24"/>
        </w:rPr>
        <w:t>mpleando el modelo de ADDIE (</w:t>
      </w:r>
      <w:proofErr w:type="spellStart"/>
      <w:r w:rsidR="000A164C" w:rsidRPr="00AB398F">
        <w:rPr>
          <w:rFonts w:ascii="Times New Roman" w:hAnsi="Times New Roman"/>
          <w:sz w:val="24"/>
          <w:szCs w:val="24"/>
        </w:rPr>
        <w:t>Analysis</w:t>
      </w:r>
      <w:proofErr w:type="spellEnd"/>
      <w:r w:rsidR="000A164C" w:rsidRPr="00AB39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A164C" w:rsidRPr="00AB398F">
        <w:rPr>
          <w:rFonts w:ascii="Times New Roman" w:hAnsi="Times New Roman"/>
          <w:sz w:val="24"/>
          <w:szCs w:val="24"/>
        </w:rPr>
        <w:t>Design</w:t>
      </w:r>
      <w:proofErr w:type="spellEnd"/>
      <w:r w:rsidR="000A164C" w:rsidRPr="00AB39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A164C" w:rsidRPr="00AB398F">
        <w:rPr>
          <w:rFonts w:ascii="Times New Roman" w:hAnsi="Times New Roman"/>
          <w:sz w:val="24"/>
          <w:szCs w:val="24"/>
        </w:rPr>
        <w:t>Development</w:t>
      </w:r>
      <w:proofErr w:type="spellEnd"/>
      <w:r w:rsidR="000A164C" w:rsidRPr="00AB39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A164C" w:rsidRPr="00AB398F">
        <w:rPr>
          <w:rFonts w:ascii="Times New Roman" w:hAnsi="Times New Roman"/>
          <w:sz w:val="24"/>
          <w:szCs w:val="24"/>
        </w:rPr>
        <w:t>Implementation</w:t>
      </w:r>
      <w:proofErr w:type="spellEnd"/>
      <w:r w:rsidR="000A164C" w:rsidRPr="00AB398F">
        <w:rPr>
          <w:rFonts w:ascii="Times New Roman" w:hAnsi="Times New Roman"/>
          <w:sz w:val="24"/>
          <w:szCs w:val="24"/>
        </w:rPr>
        <w:t xml:space="preserve">, and </w:t>
      </w:r>
      <w:proofErr w:type="spellStart"/>
      <w:r w:rsidR="000A164C" w:rsidRPr="00AB398F">
        <w:rPr>
          <w:rFonts w:ascii="Times New Roman" w:hAnsi="Times New Roman"/>
          <w:sz w:val="24"/>
          <w:szCs w:val="24"/>
        </w:rPr>
        <w:t>Evaluation</w:t>
      </w:r>
      <w:proofErr w:type="spellEnd"/>
      <w:r w:rsidR="000A164C" w:rsidRPr="00AB398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0A164C" w:rsidRPr="00AB398F">
        <w:rPr>
          <w:rFonts w:ascii="Times New Roman" w:hAnsi="Times New Roman"/>
          <w:sz w:val="24"/>
          <w:szCs w:val="24"/>
        </w:rPr>
        <w:t>Durak</w:t>
      </w:r>
      <w:proofErr w:type="spellEnd"/>
      <w:r w:rsidR="000A164C" w:rsidRPr="00AB398F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="000A164C" w:rsidRPr="00AB398F">
        <w:rPr>
          <w:rFonts w:ascii="Times New Roman" w:hAnsi="Times New Roman"/>
          <w:sz w:val="24"/>
          <w:szCs w:val="24"/>
        </w:rPr>
        <w:t>Ataizi</w:t>
      </w:r>
      <w:proofErr w:type="spellEnd"/>
      <w:r w:rsidR="000A164C" w:rsidRPr="00AB398F">
        <w:rPr>
          <w:rFonts w:ascii="Times New Roman" w:hAnsi="Times New Roman"/>
          <w:sz w:val="24"/>
          <w:szCs w:val="24"/>
        </w:rPr>
        <w:t xml:space="preserve"> (2016) valid</w:t>
      </w:r>
      <w:r w:rsidR="008635A6" w:rsidRPr="00AB398F">
        <w:rPr>
          <w:rFonts w:ascii="Times New Roman" w:hAnsi="Times New Roman"/>
          <w:sz w:val="24"/>
          <w:szCs w:val="24"/>
        </w:rPr>
        <w:t>aron</w:t>
      </w:r>
      <w:r w:rsidR="000A164C" w:rsidRPr="00AB398F">
        <w:rPr>
          <w:rFonts w:ascii="Times New Roman" w:hAnsi="Times New Roman"/>
          <w:sz w:val="24"/>
          <w:szCs w:val="24"/>
        </w:rPr>
        <w:t xml:space="preserve"> con éxito la efectividad para integrar el modelo instructivo </w:t>
      </w:r>
      <w:r w:rsidR="00D66147" w:rsidRPr="00AB398F">
        <w:rPr>
          <w:rFonts w:ascii="Times New Roman" w:hAnsi="Times New Roman"/>
          <w:sz w:val="24"/>
          <w:szCs w:val="24"/>
        </w:rPr>
        <w:t>en</w:t>
      </w:r>
      <w:r w:rsidR="000A164C" w:rsidRPr="00AB398F">
        <w:rPr>
          <w:rFonts w:ascii="Times New Roman" w:hAnsi="Times New Roman"/>
          <w:sz w:val="24"/>
          <w:szCs w:val="24"/>
        </w:rPr>
        <w:t xml:space="preserve"> los currículos virtuales.  Esto</w:t>
      </w:r>
      <w:r w:rsidR="0019250A" w:rsidRPr="00AB398F">
        <w:rPr>
          <w:rFonts w:ascii="Times New Roman" w:hAnsi="Times New Roman"/>
          <w:sz w:val="24"/>
          <w:szCs w:val="24"/>
        </w:rPr>
        <w:t>s</w:t>
      </w:r>
      <w:r w:rsidR="000A164C" w:rsidRPr="00AB398F">
        <w:rPr>
          <w:rFonts w:ascii="Times New Roman" w:hAnsi="Times New Roman"/>
          <w:sz w:val="24"/>
          <w:szCs w:val="24"/>
        </w:rPr>
        <w:t xml:space="preserve"> investiga</w:t>
      </w:r>
      <w:r w:rsidR="0019250A" w:rsidRPr="00AB398F">
        <w:rPr>
          <w:rFonts w:ascii="Times New Roman" w:hAnsi="Times New Roman"/>
          <w:sz w:val="24"/>
          <w:szCs w:val="24"/>
        </w:rPr>
        <w:t>dores</w:t>
      </w:r>
      <w:r w:rsidR="000A164C" w:rsidRPr="00AB398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A164C" w:rsidRPr="00AB398F">
        <w:rPr>
          <w:rFonts w:ascii="Times New Roman" w:hAnsi="Times New Roman"/>
          <w:sz w:val="24"/>
          <w:szCs w:val="24"/>
        </w:rPr>
        <w:t>Durak</w:t>
      </w:r>
      <w:proofErr w:type="spellEnd"/>
      <w:r w:rsidR="000A164C" w:rsidRPr="00AB398F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="000A164C" w:rsidRPr="00AB398F">
        <w:rPr>
          <w:rFonts w:ascii="Times New Roman" w:hAnsi="Times New Roman"/>
          <w:sz w:val="24"/>
          <w:szCs w:val="24"/>
        </w:rPr>
        <w:t>Ataizi</w:t>
      </w:r>
      <w:proofErr w:type="spellEnd"/>
      <w:r w:rsidR="000A164C" w:rsidRPr="00AB398F">
        <w:rPr>
          <w:rFonts w:ascii="Times New Roman" w:hAnsi="Times New Roman"/>
          <w:sz w:val="24"/>
          <w:szCs w:val="24"/>
        </w:rPr>
        <w:t>, 2016)</w:t>
      </w:r>
      <w:r w:rsidRPr="00AB398F">
        <w:rPr>
          <w:rFonts w:ascii="Times New Roman" w:hAnsi="Times New Roman"/>
          <w:sz w:val="24"/>
          <w:szCs w:val="24"/>
        </w:rPr>
        <w:t>, al igual que</w:t>
      </w:r>
      <w:r w:rsidR="000A164C" w:rsidRPr="00AB39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398F">
        <w:rPr>
          <w:rFonts w:ascii="Times New Roman" w:hAnsi="Times New Roman"/>
          <w:sz w:val="24"/>
          <w:szCs w:val="24"/>
        </w:rPr>
        <w:t>Oyeleke</w:t>
      </w:r>
      <w:proofErr w:type="spellEnd"/>
      <w:r w:rsidRPr="00AB398F">
        <w:rPr>
          <w:rFonts w:ascii="Times New Roman" w:hAnsi="Times New Roman"/>
          <w:sz w:val="24"/>
          <w:szCs w:val="24"/>
        </w:rPr>
        <w:t xml:space="preserve">, et al. (2015), </w:t>
      </w:r>
      <w:r w:rsidR="000A164C" w:rsidRPr="00AB398F">
        <w:rPr>
          <w:rFonts w:ascii="Times New Roman" w:hAnsi="Times New Roman"/>
          <w:sz w:val="24"/>
          <w:szCs w:val="24"/>
        </w:rPr>
        <w:t>enfatizaron en la importancia de mantener un</w:t>
      </w:r>
      <w:r w:rsidR="00BB1B14" w:rsidRPr="00AB398F">
        <w:rPr>
          <w:rFonts w:ascii="Times New Roman" w:hAnsi="Times New Roman"/>
          <w:sz w:val="24"/>
          <w:szCs w:val="24"/>
        </w:rPr>
        <w:t>a</w:t>
      </w:r>
      <w:r w:rsidR="000A164C" w:rsidRPr="00AB398F">
        <w:rPr>
          <w:rFonts w:ascii="Times New Roman" w:hAnsi="Times New Roman"/>
          <w:sz w:val="24"/>
          <w:szCs w:val="24"/>
        </w:rPr>
        <w:t xml:space="preserve"> interacción continua durante las actividades implementadas en el currículo de educación a distancia.  </w:t>
      </w:r>
      <w:r w:rsidRPr="00AB398F">
        <w:rPr>
          <w:rFonts w:ascii="Times New Roman" w:hAnsi="Times New Roman"/>
          <w:sz w:val="24"/>
          <w:szCs w:val="24"/>
        </w:rPr>
        <w:t xml:space="preserve">Otros autores también coinciden con los planteamientos de los autores en cuanto a la distribución y desarrollo de materiales didácticos.  </w:t>
      </w:r>
      <w:proofErr w:type="spellStart"/>
      <w:r w:rsidR="000A164C" w:rsidRPr="00AB398F">
        <w:rPr>
          <w:rFonts w:ascii="Times New Roman" w:hAnsi="Times New Roman"/>
          <w:sz w:val="24"/>
          <w:szCs w:val="24"/>
        </w:rPr>
        <w:t>Pribadi</w:t>
      </w:r>
      <w:proofErr w:type="spellEnd"/>
      <w:r w:rsidR="000A164C" w:rsidRPr="00AB39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A164C" w:rsidRPr="00AB398F">
        <w:rPr>
          <w:rFonts w:ascii="Times New Roman" w:hAnsi="Times New Roman"/>
          <w:sz w:val="24"/>
          <w:szCs w:val="24"/>
        </w:rPr>
        <w:t>Doluweera</w:t>
      </w:r>
      <w:proofErr w:type="spellEnd"/>
      <w:r w:rsidR="000A164C" w:rsidRPr="00AB398F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="006772B7" w:rsidRPr="00AB398F">
        <w:rPr>
          <w:rFonts w:ascii="Times New Roman" w:hAnsi="Times New Roman"/>
          <w:sz w:val="24"/>
          <w:szCs w:val="24"/>
        </w:rPr>
        <w:t>Minsheng</w:t>
      </w:r>
      <w:proofErr w:type="spellEnd"/>
      <w:r w:rsidR="006772B7" w:rsidRPr="00AB398F">
        <w:rPr>
          <w:rFonts w:ascii="Times New Roman" w:hAnsi="Times New Roman"/>
          <w:sz w:val="24"/>
          <w:szCs w:val="24"/>
        </w:rPr>
        <w:t xml:space="preserve"> (2016), </w:t>
      </w:r>
      <w:r w:rsidR="00CF7080" w:rsidRPr="00AB398F">
        <w:rPr>
          <w:rFonts w:ascii="Times New Roman" w:hAnsi="Times New Roman"/>
          <w:sz w:val="24"/>
          <w:szCs w:val="24"/>
        </w:rPr>
        <w:t>descubrieron</w:t>
      </w:r>
      <w:r w:rsidR="006772B7" w:rsidRPr="00AB398F">
        <w:rPr>
          <w:rFonts w:ascii="Times New Roman" w:hAnsi="Times New Roman"/>
          <w:sz w:val="24"/>
          <w:szCs w:val="24"/>
        </w:rPr>
        <w:t xml:space="preserve"> que</w:t>
      </w:r>
      <w:r w:rsidR="000A164C" w:rsidRPr="00AB398F">
        <w:rPr>
          <w:rFonts w:ascii="Times New Roman" w:hAnsi="Times New Roman"/>
          <w:sz w:val="24"/>
          <w:szCs w:val="24"/>
        </w:rPr>
        <w:t xml:space="preserve"> </w:t>
      </w:r>
      <w:r w:rsidR="005E28BB" w:rsidRPr="00AB398F">
        <w:rPr>
          <w:rFonts w:ascii="Times New Roman" w:hAnsi="Times New Roman"/>
          <w:sz w:val="24"/>
          <w:szCs w:val="24"/>
        </w:rPr>
        <w:t>la metodología</w:t>
      </w:r>
      <w:r w:rsidR="000A164C" w:rsidRPr="00AB398F">
        <w:rPr>
          <w:rFonts w:ascii="Times New Roman" w:hAnsi="Times New Roman"/>
          <w:sz w:val="24"/>
          <w:szCs w:val="24"/>
        </w:rPr>
        <w:t xml:space="preserve"> de</w:t>
      </w:r>
      <w:r w:rsidR="005E28BB" w:rsidRPr="00AB398F">
        <w:rPr>
          <w:rFonts w:ascii="Times New Roman" w:hAnsi="Times New Roman"/>
          <w:sz w:val="24"/>
          <w:szCs w:val="24"/>
        </w:rPr>
        <w:t>l</w:t>
      </w:r>
      <w:r w:rsidR="000A164C" w:rsidRPr="00AB398F">
        <w:rPr>
          <w:rFonts w:ascii="Times New Roman" w:hAnsi="Times New Roman"/>
          <w:sz w:val="24"/>
          <w:szCs w:val="24"/>
        </w:rPr>
        <w:t xml:space="preserve"> diseño </w:t>
      </w:r>
      <w:r w:rsidR="005E28BB" w:rsidRPr="00AB398F">
        <w:rPr>
          <w:rFonts w:ascii="Times New Roman" w:hAnsi="Times New Roman"/>
          <w:sz w:val="24"/>
          <w:szCs w:val="24"/>
        </w:rPr>
        <w:t>didáctico</w:t>
      </w:r>
      <w:r w:rsidR="000A164C" w:rsidRPr="00AB398F">
        <w:rPr>
          <w:rFonts w:ascii="Times New Roman" w:hAnsi="Times New Roman"/>
          <w:sz w:val="24"/>
          <w:szCs w:val="24"/>
        </w:rPr>
        <w:t xml:space="preserve"> dispone de elementos cruciales para el desarrollo de literatura académica dirigido al currículo </w:t>
      </w:r>
      <w:r w:rsidR="00602DE5" w:rsidRPr="00AB398F">
        <w:rPr>
          <w:rFonts w:ascii="Times New Roman" w:hAnsi="Times New Roman"/>
          <w:sz w:val="24"/>
          <w:szCs w:val="24"/>
        </w:rPr>
        <w:t xml:space="preserve">de </w:t>
      </w:r>
      <w:r w:rsidR="000A164C" w:rsidRPr="00AB398F">
        <w:rPr>
          <w:rFonts w:ascii="Times New Roman" w:hAnsi="Times New Roman"/>
          <w:sz w:val="24"/>
          <w:szCs w:val="24"/>
        </w:rPr>
        <w:t xml:space="preserve">cursos a distancia y de aprendizaje abierto.  </w:t>
      </w:r>
      <w:r w:rsidRPr="00AB398F">
        <w:rPr>
          <w:rFonts w:ascii="Times New Roman" w:hAnsi="Times New Roman"/>
          <w:sz w:val="24"/>
          <w:szCs w:val="24"/>
        </w:rPr>
        <w:t>Finalmente, la literatura científica también refleja un énfasis similar en el avaluó, revelando que</w:t>
      </w:r>
      <w:r w:rsidR="000A164C" w:rsidRPr="00AB398F">
        <w:rPr>
          <w:rFonts w:ascii="Times New Roman" w:hAnsi="Times New Roman"/>
          <w:sz w:val="24"/>
          <w:szCs w:val="24"/>
        </w:rPr>
        <w:t xml:space="preserve"> el sistema de </w:t>
      </w:r>
      <w:r w:rsidR="005E28BB" w:rsidRPr="00AB398F">
        <w:rPr>
          <w:rFonts w:ascii="Times New Roman" w:hAnsi="Times New Roman"/>
          <w:sz w:val="24"/>
          <w:szCs w:val="24"/>
        </w:rPr>
        <w:t>esquema</w:t>
      </w:r>
      <w:r w:rsidR="000A164C" w:rsidRPr="00AB398F">
        <w:rPr>
          <w:rFonts w:ascii="Times New Roman" w:hAnsi="Times New Roman"/>
          <w:sz w:val="24"/>
          <w:szCs w:val="24"/>
        </w:rPr>
        <w:t xml:space="preserve"> instructivo deberá estar bajo un continuo proceso de avalúo, de manera que se ajuste a las demandas actuales y prospectivas del entorno y perfil de los estudi</w:t>
      </w:r>
      <w:r w:rsidR="008635A6" w:rsidRPr="00AB398F">
        <w:rPr>
          <w:rFonts w:ascii="Times New Roman" w:hAnsi="Times New Roman"/>
          <w:sz w:val="24"/>
          <w:szCs w:val="24"/>
        </w:rPr>
        <w:t>antes (</w:t>
      </w:r>
      <w:proofErr w:type="spellStart"/>
      <w:r w:rsidR="008635A6" w:rsidRPr="00AB398F">
        <w:rPr>
          <w:rFonts w:ascii="Times New Roman" w:hAnsi="Times New Roman"/>
          <w:sz w:val="24"/>
          <w:szCs w:val="24"/>
        </w:rPr>
        <w:t>Ashfaq</w:t>
      </w:r>
      <w:proofErr w:type="spellEnd"/>
      <w:r w:rsidR="008635A6" w:rsidRPr="00AB39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635A6" w:rsidRPr="00AB398F">
        <w:rPr>
          <w:rFonts w:ascii="Times New Roman" w:hAnsi="Times New Roman"/>
          <w:sz w:val="24"/>
          <w:szCs w:val="24"/>
        </w:rPr>
        <w:t>Chaudry</w:t>
      </w:r>
      <w:proofErr w:type="spellEnd"/>
      <w:r w:rsidR="008635A6" w:rsidRPr="00AB398F">
        <w:rPr>
          <w:rFonts w:ascii="Times New Roman" w:hAnsi="Times New Roman"/>
          <w:sz w:val="24"/>
          <w:szCs w:val="24"/>
        </w:rPr>
        <w:t xml:space="preserve">, &amp; </w:t>
      </w:r>
      <w:proofErr w:type="spellStart"/>
      <w:r w:rsidR="008635A6" w:rsidRPr="00AB398F">
        <w:rPr>
          <w:rFonts w:ascii="Times New Roman" w:hAnsi="Times New Roman"/>
          <w:sz w:val="24"/>
          <w:szCs w:val="24"/>
        </w:rPr>
        <w:t>Iqbal</w:t>
      </w:r>
      <w:proofErr w:type="spellEnd"/>
      <w:r w:rsidR="008635A6" w:rsidRPr="00AB398F">
        <w:rPr>
          <w:rFonts w:ascii="Times New Roman" w:hAnsi="Times New Roman"/>
          <w:sz w:val="24"/>
          <w:szCs w:val="24"/>
        </w:rPr>
        <w:t>,</w:t>
      </w:r>
      <w:r w:rsidR="000A164C" w:rsidRPr="00AB398F">
        <w:rPr>
          <w:rFonts w:ascii="Times New Roman" w:hAnsi="Times New Roman"/>
          <w:sz w:val="24"/>
          <w:szCs w:val="24"/>
        </w:rPr>
        <w:t xml:space="preserve"> 2016).</w:t>
      </w:r>
      <w:r w:rsidR="00FC31A8" w:rsidRPr="00AB398F">
        <w:rPr>
          <w:rFonts w:ascii="Times New Roman" w:hAnsi="Times New Roman"/>
          <w:sz w:val="24"/>
          <w:szCs w:val="24"/>
        </w:rPr>
        <w:t xml:space="preserve">  Aunque </w:t>
      </w:r>
      <w:proofErr w:type="spellStart"/>
      <w:r w:rsidR="00FC31A8" w:rsidRPr="00AB398F">
        <w:rPr>
          <w:rFonts w:ascii="Times New Roman" w:hAnsi="Times New Roman"/>
          <w:sz w:val="24"/>
          <w:szCs w:val="24"/>
        </w:rPr>
        <w:t>Oyeleke</w:t>
      </w:r>
      <w:proofErr w:type="spellEnd"/>
      <w:r w:rsidR="00FC31A8" w:rsidRPr="00AB398F">
        <w:rPr>
          <w:rFonts w:ascii="Times New Roman" w:hAnsi="Times New Roman"/>
          <w:sz w:val="24"/>
          <w:szCs w:val="24"/>
        </w:rPr>
        <w:t xml:space="preserve">, et al. (2015) presentan unos </w:t>
      </w:r>
      <w:r w:rsidR="00C6278A" w:rsidRPr="00AB398F">
        <w:rPr>
          <w:rFonts w:ascii="Times New Roman" w:hAnsi="Times New Roman"/>
          <w:sz w:val="24"/>
          <w:szCs w:val="24"/>
        </w:rPr>
        <w:t>elementos importantes</w:t>
      </w:r>
      <w:r w:rsidR="00FC31A8" w:rsidRPr="00AB398F">
        <w:rPr>
          <w:rFonts w:ascii="Times New Roman" w:hAnsi="Times New Roman"/>
          <w:sz w:val="24"/>
          <w:szCs w:val="24"/>
        </w:rPr>
        <w:t xml:space="preserve"> para el desarrollo de un programa a distancia, fallan en no considerar aspectos </w:t>
      </w:r>
      <w:r w:rsidR="00D66540" w:rsidRPr="00AB398F">
        <w:rPr>
          <w:rFonts w:ascii="Times New Roman" w:hAnsi="Times New Roman"/>
          <w:sz w:val="24"/>
          <w:szCs w:val="24"/>
        </w:rPr>
        <w:t>asociados con la diversidad cultural</w:t>
      </w:r>
      <w:r w:rsidR="00FC31A8" w:rsidRPr="00AB398F">
        <w:rPr>
          <w:rFonts w:ascii="Times New Roman" w:hAnsi="Times New Roman"/>
          <w:sz w:val="24"/>
          <w:szCs w:val="24"/>
        </w:rPr>
        <w:t xml:space="preserve"> (</w:t>
      </w:r>
      <w:r w:rsidR="004F0615" w:rsidRPr="00AB398F">
        <w:rPr>
          <w:rFonts w:ascii="Times New Roman" w:hAnsi="Times New Roman"/>
          <w:sz w:val="24"/>
          <w:szCs w:val="24"/>
        </w:rPr>
        <w:t xml:space="preserve">Liu, Liu, Lee, &amp; </w:t>
      </w:r>
      <w:proofErr w:type="spellStart"/>
      <w:r w:rsidR="004F0615" w:rsidRPr="00AB398F">
        <w:rPr>
          <w:rFonts w:ascii="Times New Roman" w:hAnsi="Times New Roman"/>
          <w:sz w:val="24"/>
          <w:szCs w:val="24"/>
        </w:rPr>
        <w:t>Magjuka</w:t>
      </w:r>
      <w:proofErr w:type="spellEnd"/>
      <w:r w:rsidR="004F0615" w:rsidRPr="00AB398F">
        <w:rPr>
          <w:rFonts w:ascii="Times New Roman" w:hAnsi="Times New Roman"/>
          <w:sz w:val="24"/>
          <w:szCs w:val="24"/>
        </w:rPr>
        <w:t xml:space="preserve">, 2010; </w:t>
      </w:r>
      <w:proofErr w:type="spellStart"/>
      <w:r w:rsidR="00D263F5" w:rsidRPr="00AB398F">
        <w:rPr>
          <w:rFonts w:ascii="Times New Roman" w:hAnsi="Times New Roman"/>
          <w:sz w:val="24"/>
          <w:szCs w:val="24"/>
        </w:rPr>
        <w:t>McLoughlin</w:t>
      </w:r>
      <w:proofErr w:type="spellEnd"/>
      <w:r w:rsidR="00D263F5" w:rsidRPr="00AB398F">
        <w:rPr>
          <w:rFonts w:ascii="Times New Roman" w:hAnsi="Times New Roman"/>
          <w:sz w:val="24"/>
          <w:szCs w:val="24"/>
        </w:rPr>
        <w:t>, &amp; Oliver, 1999</w:t>
      </w:r>
      <w:r w:rsidR="00FC31A8" w:rsidRPr="00AB398F">
        <w:rPr>
          <w:rFonts w:ascii="Times New Roman" w:hAnsi="Times New Roman"/>
          <w:sz w:val="24"/>
          <w:szCs w:val="24"/>
        </w:rPr>
        <w:t>).</w:t>
      </w:r>
      <w:r w:rsidR="00D577A3" w:rsidRPr="00AB398F">
        <w:rPr>
          <w:rFonts w:ascii="Times New Roman" w:hAnsi="Times New Roman"/>
          <w:sz w:val="24"/>
          <w:szCs w:val="24"/>
        </w:rPr>
        <w:t xml:space="preserve">  </w:t>
      </w:r>
      <w:r w:rsidR="003063D1" w:rsidRPr="00AB398F">
        <w:rPr>
          <w:rFonts w:ascii="Times New Roman" w:hAnsi="Times New Roman"/>
          <w:sz w:val="24"/>
          <w:szCs w:val="24"/>
        </w:rPr>
        <w:t xml:space="preserve">Tomando </w:t>
      </w:r>
      <w:r w:rsidR="003063D1" w:rsidRPr="00AB398F">
        <w:rPr>
          <w:rFonts w:ascii="Times New Roman" w:hAnsi="Times New Roman"/>
          <w:sz w:val="24"/>
          <w:szCs w:val="24"/>
        </w:rPr>
        <w:lastRenderedPageBreak/>
        <w:t xml:space="preserve">como ejemplo estudiantes indígenas de Australia, </w:t>
      </w:r>
      <w:proofErr w:type="spellStart"/>
      <w:r w:rsidR="00D577A3" w:rsidRPr="00AB398F">
        <w:rPr>
          <w:rFonts w:ascii="Times New Roman" w:hAnsi="Times New Roman"/>
          <w:sz w:val="24"/>
          <w:szCs w:val="24"/>
        </w:rPr>
        <w:t>McLoughlin</w:t>
      </w:r>
      <w:proofErr w:type="spellEnd"/>
      <w:r w:rsidR="00D577A3" w:rsidRPr="00AB398F">
        <w:rPr>
          <w:rFonts w:ascii="Times New Roman" w:hAnsi="Times New Roman"/>
          <w:sz w:val="24"/>
          <w:szCs w:val="24"/>
        </w:rPr>
        <w:t xml:space="preserve"> y Oliver (1999) plantea que el éxito del modelo instruccional dependerá de las consideraciones culturales y las necesidades apremiante</w:t>
      </w:r>
      <w:r w:rsidR="003063D1" w:rsidRPr="00AB398F">
        <w:rPr>
          <w:rFonts w:ascii="Times New Roman" w:hAnsi="Times New Roman"/>
          <w:sz w:val="24"/>
          <w:szCs w:val="24"/>
        </w:rPr>
        <w:t xml:space="preserve">s </w:t>
      </w:r>
      <w:r w:rsidR="00D577A3" w:rsidRPr="00AB398F">
        <w:rPr>
          <w:rFonts w:ascii="Times New Roman" w:hAnsi="Times New Roman"/>
          <w:sz w:val="24"/>
          <w:szCs w:val="24"/>
        </w:rPr>
        <w:t>en los grupos multiculturales</w:t>
      </w:r>
      <w:r w:rsidR="004D65AC" w:rsidRPr="00AB398F">
        <w:rPr>
          <w:rFonts w:ascii="Times New Roman" w:hAnsi="Times New Roman"/>
          <w:sz w:val="24"/>
          <w:szCs w:val="24"/>
        </w:rPr>
        <w:t>, es decir, es imperante la planificación e implementación de un diseño instruccional culturalmente equitativo.</w:t>
      </w:r>
      <w:r w:rsidR="003063D1" w:rsidRPr="00AB398F">
        <w:rPr>
          <w:rFonts w:ascii="Times New Roman" w:hAnsi="Times New Roman"/>
          <w:sz w:val="24"/>
          <w:szCs w:val="24"/>
        </w:rPr>
        <w:t xml:space="preserve">  </w:t>
      </w:r>
      <w:r w:rsidR="00FA7A06" w:rsidRPr="00AB398F">
        <w:rPr>
          <w:rFonts w:ascii="Times New Roman" w:hAnsi="Times New Roman"/>
          <w:sz w:val="24"/>
          <w:szCs w:val="24"/>
        </w:rPr>
        <w:t>Más aún,</w:t>
      </w:r>
      <w:r w:rsidR="003063D1" w:rsidRPr="00AB398F">
        <w:rPr>
          <w:rFonts w:ascii="Times New Roman" w:hAnsi="Times New Roman"/>
          <w:sz w:val="24"/>
          <w:szCs w:val="24"/>
        </w:rPr>
        <w:t xml:space="preserve"> Liu, et al. (2010)</w:t>
      </w:r>
      <w:r w:rsidR="00FA7A06" w:rsidRPr="00AB398F">
        <w:rPr>
          <w:rFonts w:ascii="Times New Roman" w:hAnsi="Times New Roman"/>
          <w:sz w:val="24"/>
          <w:szCs w:val="24"/>
        </w:rPr>
        <w:t xml:space="preserve"> estudiaron los efectos </w:t>
      </w:r>
      <w:proofErr w:type="gramStart"/>
      <w:r w:rsidR="00FA7A06" w:rsidRPr="00AB398F">
        <w:rPr>
          <w:rFonts w:ascii="Times New Roman" w:hAnsi="Times New Roman"/>
          <w:sz w:val="24"/>
          <w:szCs w:val="24"/>
        </w:rPr>
        <w:t>socio-culturales</w:t>
      </w:r>
      <w:proofErr w:type="gramEnd"/>
      <w:r w:rsidR="00FA7A06" w:rsidRPr="00AB398F">
        <w:rPr>
          <w:rFonts w:ascii="Times New Roman" w:hAnsi="Times New Roman"/>
          <w:sz w:val="24"/>
          <w:szCs w:val="24"/>
        </w:rPr>
        <w:t xml:space="preserve"> en estudiantes internacionales, bajo un currículo virtual graduado en administración de empresas.  Estos autores hallaro</w:t>
      </w:r>
      <w:r w:rsidR="00D76598" w:rsidRPr="00AB398F">
        <w:rPr>
          <w:rFonts w:ascii="Times New Roman" w:hAnsi="Times New Roman"/>
          <w:sz w:val="24"/>
          <w:szCs w:val="24"/>
        </w:rPr>
        <w:t>n</w:t>
      </w:r>
      <w:r w:rsidR="00FA7A06" w:rsidRPr="00AB398F">
        <w:rPr>
          <w:rFonts w:ascii="Times New Roman" w:hAnsi="Times New Roman"/>
          <w:sz w:val="24"/>
          <w:szCs w:val="24"/>
        </w:rPr>
        <w:t xml:space="preserve"> siete categorías de índole cultural que debe ser consideradas durante el diseño de cursos a distancia, para así asegurar </w:t>
      </w:r>
      <w:r w:rsidR="000C08D2" w:rsidRPr="00AB398F">
        <w:rPr>
          <w:rFonts w:ascii="Times New Roman" w:hAnsi="Times New Roman"/>
          <w:sz w:val="24"/>
          <w:szCs w:val="24"/>
        </w:rPr>
        <w:t>la participación efectiva de estas poblaciones</w:t>
      </w:r>
      <w:r w:rsidR="00FA7A06" w:rsidRPr="00AB398F">
        <w:rPr>
          <w:rFonts w:ascii="Times New Roman" w:hAnsi="Times New Roman"/>
          <w:sz w:val="24"/>
          <w:szCs w:val="24"/>
        </w:rPr>
        <w:t xml:space="preserve"> (</w:t>
      </w:r>
      <w:r w:rsidR="000C08D2" w:rsidRPr="00AB398F">
        <w:rPr>
          <w:rFonts w:ascii="Times New Roman" w:hAnsi="Times New Roman"/>
          <w:sz w:val="24"/>
          <w:szCs w:val="24"/>
        </w:rPr>
        <w:t>Liu, et al., 2010</w:t>
      </w:r>
      <w:r w:rsidR="00FA7A06" w:rsidRPr="00AB398F">
        <w:rPr>
          <w:rFonts w:ascii="Times New Roman" w:hAnsi="Times New Roman"/>
          <w:sz w:val="24"/>
          <w:szCs w:val="24"/>
        </w:rPr>
        <w:t>)</w:t>
      </w:r>
      <w:r w:rsidR="000C08D2" w:rsidRPr="00AB398F">
        <w:rPr>
          <w:rFonts w:ascii="Times New Roman" w:hAnsi="Times New Roman"/>
          <w:sz w:val="24"/>
          <w:szCs w:val="24"/>
        </w:rPr>
        <w:t>.</w:t>
      </w:r>
    </w:p>
    <w:p w14:paraId="0385AAE0" w14:textId="77777777" w:rsidR="00E24C36" w:rsidRPr="00AB398F" w:rsidRDefault="000D3EDE" w:rsidP="00D76598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 w:rsidRPr="00AB398F">
        <w:rPr>
          <w:rFonts w:ascii="Times New Roman" w:hAnsi="Times New Roman"/>
          <w:sz w:val="24"/>
          <w:szCs w:val="24"/>
        </w:rPr>
        <w:t>Además de un currículo flexible y un modelo instructivo efectivo, el</w:t>
      </w:r>
      <w:r w:rsidR="00C6697D" w:rsidRPr="00AB398F">
        <w:rPr>
          <w:rFonts w:ascii="Times New Roman" w:hAnsi="Times New Roman"/>
          <w:sz w:val="24"/>
          <w:szCs w:val="24"/>
        </w:rPr>
        <w:t xml:space="preserve"> sistema para la planificación de actividades </w:t>
      </w:r>
      <w:r w:rsidR="00C6697D" w:rsidRPr="00AB398F">
        <w:rPr>
          <w:rFonts w:ascii="Times New Roman" w:hAnsi="Times New Roman"/>
          <w:i/>
          <w:sz w:val="24"/>
          <w:szCs w:val="24"/>
        </w:rPr>
        <w:t>pedagógicas</w:t>
      </w:r>
      <w:r w:rsidR="00C6697D" w:rsidRPr="00AB398F">
        <w:rPr>
          <w:rFonts w:ascii="Times New Roman" w:hAnsi="Times New Roman"/>
          <w:sz w:val="24"/>
          <w:szCs w:val="24"/>
        </w:rPr>
        <w:t xml:space="preserve"> que propone </w:t>
      </w:r>
      <w:proofErr w:type="spellStart"/>
      <w:r w:rsidR="00C6697D" w:rsidRPr="00AB398F">
        <w:rPr>
          <w:rFonts w:ascii="Times New Roman" w:hAnsi="Times New Roman"/>
          <w:sz w:val="24"/>
          <w:szCs w:val="24"/>
        </w:rPr>
        <w:t>Oyeleke</w:t>
      </w:r>
      <w:proofErr w:type="spellEnd"/>
      <w:r w:rsidR="00C6697D" w:rsidRPr="00AB398F">
        <w:rPr>
          <w:rFonts w:ascii="Times New Roman" w:hAnsi="Times New Roman"/>
          <w:sz w:val="24"/>
          <w:szCs w:val="24"/>
        </w:rPr>
        <w:t xml:space="preserve">, et al. (2015), </w:t>
      </w:r>
      <w:r w:rsidR="00E24C36" w:rsidRPr="00AB398F">
        <w:rPr>
          <w:rFonts w:ascii="Times New Roman" w:hAnsi="Times New Roman"/>
          <w:sz w:val="24"/>
          <w:szCs w:val="24"/>
        </w:rPr>
        <w:t>integra variables vitales para el despliegue de</w:t>
      </w:r>
      <w:r w:rsidR="00C6697D" w:rsidRPr="00AB398F">
        <w:rPr>
          <w:rFonts w:ascii="Times New Roman" w:hAnsi="Times New Roman"/>
          <w:sz w:val="24"/>
          <w:szCs w:val="24"/>
        </w:rPr>
        <w:t xml:space="preserve"> </w:t>
      </w:r>
      <w:r w:rsidR="00E24C36" w:rsidRPr="00AB398F">
        <w:rPr>
          <w:rFonts w:ascii="Times New Roman" w:hAnsi="Times New Roman"/>
          <w:sz w:val="24"/>
          <w:szCs w:val="24"/>
        </w:rPr>
        <w:t>actividades aprendizaje a lo largo del continuo del programa de educación a distancia</w:t>
      </w:r>
      <w:r w:rsidR="00DB0E74" w:rsidRPr="00AB398F">
        <w:rPr>
          <w:rFonts w:ascii="Times New Roman" w:hAnsi="Times New Roman"/>
          <w:sz w:val="24"/>
          <w:szCs w:val="24"/>
        </w:rPr>
        <w:t>;</w:t>
      </w:r>
      <w:r w:rsidR="00E26996" w:rsidRPr="00AB398F">
        <w:rPr>
          <w:rFonts w:ascii="Times New Roman" w:hAnsi="Times New Roman"/>
          <w:sz w:val="24"/>
          <w:szCs w:val="24"/>
        </w:rPr>
        <w:t xml:space="preserve"> pero</w:t>
      </w:r>
      <w:r w:rsidR="00DB0E74" w:rsidRPr="00AB398F">
        <w:rPr>
          <w:rFonts w:ascii="Times New Roman" w:hAnsi="Times New Roman"/>
          <w:sz w:val="24"/>
          <w:szCs w:val="24"/>
        </w:rPr>
        <w:t>,</w:t>
      </w:r>
      <w:r w:rsidR="00E26996" w:rsidRPr="00AB398F">
        <w:rPr>
          <w:rFonts w:ascii="Times New Roman" w:hAnsi="Times New Roman"/>
          <w:sz w:val="24"/>
          <w:szCs w:val="24"/>
        </w:rPr>
        <w:t xml:space="preserve"> su efectiva </w:t>
      </w:r>
      <w:r w:rsidR="00FC2533" w:rsidRPr="00AB398F">
        <w:rPr>
          <w:rFonts w:ascii="Times New Roman" w:hAnsi="Times New Roman"/>
          <w:sz w:val="24"/>
          <w:szCs w:val="24"/>
        </w:rPr>
        <w:t>usanza</w:t>
      </w:r>
      <w:r w:rsidR="00E26996" w:rsidRPr="00AB398F">
        <w:rPr>
          <w:rFonts w:ascii="Times New Roman" w:hAnsi="Times New Roman"/>
          <w:sz w:val="24"/>
          <w:szCs w:val="24"/>
        </w:rPr>
        <w:t xml:space="preserve"> dependerá de cómo los educadores implementan este diseño</w:t>
      </w:r>
      <w:r w:rsidR="00D33121" w:rsidRPr="00AB398F">
        <w:rPr>
          <w:rFonts w:ascii="Times New Roman" w:hAnsi="Times New Roman"/>
          <w:sz w:val="24"/>
          <w:szCs w:val="24"/>
        </w:rPr>
        <w:t xml:space="preserve">, </w:t>
      </w:r>
      <w:r w:rsidR="00DB0E74" w:rsidRPr="00AB398F">
        <w:rPr>
          <w:rFonts w:ascii="Times New Roman" w:hAnsi="Times New Roman"/>
          <w:sz w:val="24"/>
          <w:szCs w:val="24"/>
        </w:rPr>
        <w:t>y del medio para la aplicación</w:t>
      </w:r>
      <w:r w:rsidR="00D33121" w:rsidRPr="00AB398F">
        <w:rPr>
          <w:rFonts w:ascii="Times New Roman" w:hAnsi="Times New Roman"/>
          <w:sz w:val="24"/>
          <w:szCs w:val="24"/>
        </w:rPr>
        <w:t xml:space="preserve"> del aprendizaje virtual (e.g., aprendizaje móvil)</w:t>
      </w:r>
      <w:r w:rsidR="00E24C36" w:rsidRPr="00AB398F">
        <w:rPr>
          <w:rFonts w:ascii="Times New Roman" w:hAnsi="Times New Roman"/>
          <w:sz w:val="24"/>
          <w:szCs w:val="24"/>
        </w:rPr>
        <w:t>.</w:t>
      </w:r>
    </w:p>
    <w:p w14:paraId="39F90E1F" w14:textId="77777777" w:rsidR="00121A25" w:rsidRPr="00AB398F" w:rsidRDefault="00E24C36" w:rsidP="00C31093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 w:rsidRPr="00AB398F">
        <w:rPr>
          <w:rFonts w:ascii="Times New Roman" w:hAnsi="Times New Roman"/>
          <w:sz w:val="24"/>
          <w:szCs w:val="24"/>
        </w:rPr>
        <w:t>El diseño</w:t>
      </w:r>
      <w:r w:rsidR="00D30532" w:rsidRPr="00AB398F">
        <w:rPr>
          <w:rFonts w:ascii="Times New Roman" w:hAnsi="Times New Roman"/>
          <w:sz w:val="24"/>
          <w:szCs w:val="24"/>
        </w:rPr>
        <w:t xml:space="preserve"> </w:t>
      </w:r>
      <w:r w:rsidR="007C242A" w:rsidRPr="00AB398F">
        <w:rPr>
          <w:rFonts w:ascii="Times New Roman" w:hAnsi="Times New Roman"/>
          <w:sz w:val="24"/>
          <w:szCs w:val="24"/>
        </w:rPr>
        <w:t xml:space="preserve">propuesto </w:t>
      </w:r>
      <w:r w:rsidR="00D30532" w:rsidRPr="00AB398F">
        <w:rPr>
          <w:rFonts w:ascii="Times New Roman" w:hAnsi="Times New Roman"/>
          <w:sz w:val="24"/>
          <w:szCs w:val="24"/>
        </w:rPr>
        <w:t>(</w:t>
      </w:r>
      <w:proofErr w:type="spellStart"/>
      <w:r w:rsidR="00D30532" w:rsidRPr="00AB398F">
        <w:rPr>
          <w:rFonts w:ascii="Times New Roman" w:hAnsi="Times New Roman"/>
          <w:sz w:val="24"/>
          <w:szCs w:val="24"/>
        </w:rPr>
        <w:t>Oyeleke</w:t>
      </w:r>
      <w:proofErr w:type="spellEnd"/>
      <w:r w:rsidR="00D30532" w:rsidRPr="00AB398F">
        <w:rPr>
          <w:rFonts w:ascii="Times New Roman" w:hAnsi="Times New Roman"/>
          <w:sz w:val="24"/>
          <w:szCs w:val="24"/>
        </w:rPr>
        <w:t>, et al., 2015)</w:t>
      </w:r>
      <w:r w:rsidRPr="00AB398F">
        <w:rPr>
          <w:rFonts w:ascii="Times New Roman" w:hAnsi="Times New Roman"/>
          <w:sz w:val="24"/>
          <w:szCs w:val="24"/>
        </w:rPr>
        <w:t xml:space="preserve"> se en</w:t>
      </w:r>
      <w:r w:rsidR="00FC2533" w:rsidRPr="00AB398F">
        <w:rPr>
          <w:rFonts w:ascii="Times New Roman" w:hAnsi="Times New Roman"/>
          <w:sz w:val="24"/>
          <w:szCs w:val="24"/>
        </w:rPr>
        <w:t>cuentra constituido de seis</w:t>
      </w:r>
      <w:r w:rsidRPr="00AB398F">
        <w:rPr>
          <w:rFonts w:ascii="Times New Roman" w:hAnsi="Times New Roman"/>
          <w:sz w:val="24"/>
          <w:szCs w:val="24"/>
        </w:rPr>
        <w:t xml:space="preserve"> re</w:t>
      </w:r>
      <w:r w:rsidR="00FA0C30" w:rsidRPr="00AB398F">
        <w:rPr>
          <w:rFonts w:ascii="Times New Roman" w:hAnsi="Times New Roman"/>
          <w:sz w:val="24"/>
          <w:szCs w:val="24"/>
        </w:rPr>
        <w:t>n</w:t>
      </w:r>
      <w:r w:rsidRPr="00AB398F">
        <w:rPr>
          <w:rFonts w:ascii="Times New Roman" w:hAnsi="Times New Roman"/>
          <w:sz w:val="24"/>
          <w:szCs w:val="24"/>
        </w:rPr>
        <w:t xml:space="preserve">glones principales, estos son: 1) las competencias </w:t>
      </w:r>
      <w:r w:rsidR="001A579E" w:rsidRPr="00AB398F">
        <w:rPr>
          <w:rFonts w:ascii="Times New Roman" w:hAnsi="Times New Roman"/>
          <w:sz w:val="24"/>
          <w:szCs w:val="24"/>
        </w:rPr>
        <w:t xml:space="preserve">particulares </w:t>
      </w:r>
      <w:r w:rsidR="00D30532" w:rsidRPr="00AB398F">
        <w:rPr>
          <w:rFonts w:ascii="Times New Roman" w:hAnsi="Times New Roman"/>
          <w:sz w:val="24"/>
          <w:szCs w:val="24"/>
        </w:rPr>
        <w:t xml:space="preserve">para </w:t>
      </w:r>
      <w:r w:rsidR="00D02611" w:rsidRPr="00AB398F">
        <w:rPr>
          <w:rFonts w:ascii="Times New Roman" w:hAnsi="Times New Roman"/>
          <w:sz w:val="24"/>
          <w:szCs w:val="24"/>
        </w:rPr>
        <w:t>cada se</w:t>
      </w:r>
      <w:r w:rsidR="00D30532" w:rsidRPr="00AB398F">
        <w:rPr>
          <w:rFonts w:ascii="Times New Roman" w:hAnsi="Times New Roman"/>
          <w:sz w:val="24"/>
          <w:szCs w:val="24"/>
        </w:rPr>
        <w:t>cción</w:t>
      </w:r>
      <w:r w:rsidR="00D02611" w:rsidRPr="00AB398F">
        <w:rPr>
          <w:rFonts w:ascii="Times New Roman" w:hAnsi="Times New Roman"/>
          <w:sz w:val="24"/>
          <w:szCs w:val="24"/>
        </w:rPr>
        <w:t xml:space="preserve"> del contenido; 2) todas las actividades educativas que </w:t>
      </w:r>
      <w:r w:rsidR="00D30532" w:rsidRPr="00AB398F">
        <w:rPr>
          <w:rFonts w:ascii="Times New Roman" w:hAnsi="Times New Roman"/>
          <w:sz w:val="24"/>
          <w:szCs w:val="24"/>
        </w:rPr>
        <w:t xml:space="preserve">se </w:t>
      </w:r>
      <w:r w:rsidR="00D02611" w:rsidRPr="00AB398F">
        <w:rPr>
          <w:rFonts w:ascii="Times New Roman" w:hAnsi="Times New Roman"/>
          <w:sz w:val="24"/>
          <w:szCs w:val="24"/>
        </w:rPr>
        <w:t xml:space="preserve">habrán de integrar </w:t>
      </w:r>
      <w:r w:rsidR="00D30532" w:rsidRPr="00AB398F">
        <w:rPr>
          <w:rFonts w:ascii="Times New Roman" w:hAnsi="Times New Roman"/>
          <w:sz w:val="24"/>
          <w:szCs w:val="24"/>
        </w:rPr>
        <w:t>en el curso</w:t>
      </w:r>
      <w:r w:rsidR="00D02611" w:rsidRPr="00AB398F">
        <w:rPr>
          <w:rFonts w:ascii="Times New Roman" w:hAnsi="Times New Roman"/>
          <w:sz w:val="24"/>
          <w:szCs w:val="24"/>
        </w:rPr>
        <w:t xml:space="preserve">, como son los foros argumentativos, tareas de investigación, la </w:t>
      </w:r>
      <w:r w:rsidR="00D30532" w:rsidRPr="00AB398F">
        <w:rPr>
          <w:rFonts w:ascii="Times New Roman" w:hAnsi="Times New Roman"/>
          <w:sz w:val="24"/>
          <w:szCs w:val="24"/>
        </w:rPr>
        <w:t>a</w:t>
      </w:r>
      <w:r w:rsidR="00D02611" w:rsidRPr="00AB398F">
        <w:rPr>
          <w:rFonts w:ascii="Times New Roman" w:hAnsi="Times New Roman"/>
          <w:sz w:val="24"/>
          <w:szCs w:val="24"/>
        </w:rPr>
        <w:t>sistencia virtual, y otros; 3) las estrategias pedagógicas, a saber: herramientas de discusión e interacción si</w:t>
      </w:r>
      <w:r w:rsidR="000D4F3C" w:rsidRPr="00AB398F">
        <w:rPr>
          <w:rFonts w:ascii="Times New Roman" w:hAnsi="Times New Roman"/>
          <w:sz w:val="24"/>
          <w:szCs w:val="24"/>
        </w:rPr>
        <w:t>n</w:t>
      </w:r>
      <w:r w:rsidR="00D02611" w:rsidRPr="00AB398F">
        <w:rPr>
          <w:rFonts w:ascii="Times New Roman" w:hAnsi="Times New Roman"/>
          <w:sz w:val="24"/>
          <w:szCs w:val="24"/>
        </w:rPr>
        <w:t xml:space="preserve">crónica/asincrónica, </w:t>
      </w:r>
      <w:r w:rsidR="000D4F3C" w:rsidRPr="00AB398F">
        <w:rPr>
          <w:rFonts w:ascii="Times New Roman" w:hAnsi="Times New Roman"/>
          <w:sz w:val="24"/>
          <w:szCs w:val="24"/>
        </w:rPr>
        <w:t xml:space="preserve">mensajería y asignaciones </w:t>
      </w:r>
      <w:r w:rsidR="00FC2533" w:rsidRPr="00AB398F">
        <w:rPr>
          <w:rFonts w:ascii="Times New Roman" w:hAnsi="Times New Roman"/>
          <w:sz w:val="24"/>
          <w:szCs w:val="24"/>
        </w:rPr>
        <w:t>mediante</w:t>
      </w:r>
      <w:r w:rsidR="000D4F3C" w:rsidRPr="00AB398F">
        <w:rPr>
          <w:rFonts w:ascii="Times New Roman" w:hAnsi="Times New Roman"/>
          <w:sz w:val="24"/>
          <w:szCs w:val="24"/>
        </w:rPr>
        <w:t xml:space="preserve"> comunidades de aprendizaje, </w:t>
      </w:r>
      <w:r w:rsidR="000B76AA" w:rsidRPr="00AB398F">
        <w:rPr>
          <w:rFonts w:ascii="Times New Roman" w:hAnsi="Times New Roman"/>
          <w:sz w:val="24"/>
          <w:szCs w:val="24"/>
        </w:rPr>
        <w:t>y</w:t>
      </w:r>
      <w:r w:rsidR="000D4F3C" w:rsidRPr="00AB398F">
        <w:rPr>
          <w:rFonts w:ascii="Times New Roman" w:hAnsi="Times New Roman"/>
          <w:sz w:val="24"/>
          <w:szCs w:val="24"/>
        </w:rPr>
        <w:t xml:space="preserve"> otras; 4) integración de la tecnología en la plataforma digital, tal como el uso de recursos multimedios (videos, animaciones, </w:t>
      </w:r>
      <w:r w:rsidR="00D30532" w:rsidRPr="00AB398F">
        <w:rPr>
          <w:rFonts w:ascii="Times New Roman" w:hAnsi="Times New Roman"/>
          <w:sz w:val="24"/>
          <w:szCs w:val="24"/>
        </w:rPr>
        <w:t>podcast, gráficos</w:t>
      </w:r>
      <w:r w:rsidR="000D4F3C" w:rsidRPr="00AB398F">
        <w:rPr>
          <w:rFonts w:ascii="Times New Roman" w:hAnsi="Times New Roman"/>
          <w:sz w:val="24"/>
          <w:szCs w:val="24"/>
        </w:rPr>
        <w:t>), p</w:t>
      </w:r>
      <w:r w:rsidR="00D30532" w:rsidRPr="00AB398F">
        <w:rPr>
          <w:rFonts w:ascii="Times New Roman" w:hAnsi="Times New Roman"/>
          <w:sz w:val="24"/>
          <w:szCs w:val="24"/>
        </w:rPr>
        <w:t>r</w:t>
      </w:r>
      <w:r w:rsidR="000D4F3C" w:rsidRPr="00AB398F">
        <w:rPr>
          <w:rFonts w:ascii="Times New Roman" w:hAnsi="Times New Roman"/>
          <w:sz w:val="24"/>
          <w:szCs w:val="24"/>
        </w:rPr>
        <w:t xml:space="preserve">esentaciones electrónicas, páginas </w:t>
      </w:r>
      <w:r w:rsidR="00330AE8" w:rsidRPr="00AB398F">
        <w:rPr>
          <w:rFonts w:ascii="Times New Roman" w:hAnsi="Times New Roman"/>
          <w:sz w:val="24"/>
          <w:szCs w:val="24"/>
        </w:rPr>
        <w:t>web</w:t>
      </w:r>
      <w:r w:rsidR="000D4F3C" w:rsidRPr="00AB398F">
        <w:rPr>
          <w:rFonts w:ascii="Times New Roman" w:hAnsi="Times New Roman"/>
          <w:sz w:val="24"/>
          <w:szCs w:val="24"/>
        </w:rPr>
        <w:t xml:space="preserve">, así como otras ayudas; 5) metodología para distribuir los materiales educativos, lo cual incluye formas interactivas, la comunicación, </w:t>
      </w:r>
      <w:r w:rsidR="000B76AA" w:rsidRPr="00AB398F">
        <w:rPr>
          <w:rFonts w:ascii="Times New Roman" w:hAnsi="Times New Roman"/>
          <w:sz w:val="24"/>
          <w:szCs w:val="24"/>
        </w:rPr>
        <w:t>entre</w:t>
      </w:r>
      <w:r w:rsidR="000D4F3C" w:rsidRPr="00AB398F">
        <w:rPr>
          <w:rFonts w:ascii="Times New Roman" w:hAnsi="Times New Roman"/>
          <w:sz w:val="24"/>
          <w:szCs w:val="24"/>
        </w:rPr>
        <w:t xml:space="preserve"> otras</w:t>
      </w:r>
      <w:r w:rsidR="000B76AA" w:rsidRPr="00AB398F">
        <w:rPr>
          <w:rFonts w:ascii="Times New Roman" w:hAnsi="Times New Roman"/>
          <w:sz w:val="24"/>
          <w:szCs w:val="24"/>
        </w:rPr>
        <w:t>,</w:t>
      </w:r>
      <w:r w:rsidR="000D4F3C" w:rsidRPr="00AB398F">
        <w:rPr>
          <w:rFonts w:ascii="Times New Roman" w:hAnsi="Times New Roman"/>
          <w:sz w:val="24"/>
          <w:szCs w:val="24"/>
        </w:rPr>
        <w:t xml:space="preserve"> y</w:t>
      </w:r>
      <w:r w:rsidR="00D30532" w:rsidRPr="00AB398F">
        <w:rPr>
          <w:rFonts w:ascii="Times New Roman" w:hAnsi="Times New Roman"/>
          <w:sz w:val="24"/>
          <w:szCs w:val="24"/>
        </w:rPr>
        <w:t>; 6) los medios para evaluar t</w:t>
      </w:r>
      <w:r w:rsidR="000D4F3C" w:rsidRPr="00AB398F">
        <w:rPr>
          <w:rFonts w:ascii="Times New Roman" w:hAnsi="Times New Roman"/>
          <w:sz w:val="24"/>
          <w:szCs w:val="24"/>
        </w:rPr>
        <w:t>o</w:t>
      </w:r>
      <w:r w:rsidR="00D30532" w:rsidRPr="00AB398F">
        <w:rPr>
          <w:rFonts w:ascii="Times New Roman" w:hAnsi="Times New Roman"/>
          <w:sz w:val="24"/>
          <w:szCs w:val="24"/>
        </w:rPr>
        <w:t>d</w:t>
      </w:r>
      <w:r w:rsidR="000D4F3C" w:rsidRPr="00AB398F">
        <w:rPr>
          <w:rFonts w:ascii="Times New Roman" w:hAnsi="Times New Roman"/>
          <w:sz w:val="24"/>
          <w:szCs w:val="24"/>
        </w:rPr>
        <w:t>os los requisitos de</w:t>
      </w:r>
      <w:r w:rsidR="00D30532" w:rsidRPr="00AB398F">
        <w:rPr>
          <w:rFonts w:ascii="Times New Roman" w:hAnsi="Times New Roman"/>
          <w:sz w:val="24"/>
          <w:szCs w:val="24"/>
        </w:rPr>
        <w:t xml:space="preserve"> </w:t>
      </w:r>
      <w:r w:rsidR="000D4F3C" w:rsidRPr="00AB398F">
        <w:rPr>
          <w:rFonts w:ascii="Times New Roman" w:hAnsi="Times New Roman"/>
          <w:sz w:val="24"/>
          <w:szCs w:val="24"/>
        </w:rPr>
        <w:t>l</w:t>
      </w:r>
      <w:r w:rsidR="00D30532" w:rsidRPr="00AB398F">
        <w:rPr>
          <w:rFonts w:ascii="Times New Roman" w:hAnsi="Times New Roman"/>
          <w:sz w:val="24"/>
          <w:szCs w:val="24"/>
        </w:rPr>
        <w:t>a</w:t>
      </w:r>
      <w:r w:rsidR="000D4F3C" w:rsidRPr="00AB398F">
        <w:rPr>
          <w:rFonts w:ascii="Times New Roman" w:hAnsi="Times New Roman"/>
          <w:sz w:val="24"/>
          <w:szCs w:val="24"/>
        </w:rPr>
        <w:t xml:space="preserve"> </w:t>
      </w:r>
      <w:r w:rsidR="00D30532" w:rsidRPr="00AB398F">
        <w:rPr>
          <w:rFonts w:ascii="Times New Roman" w:hAnsi="Times New Roman"/>
          <w:sz w:val="24"/>
          <w:szCs w:val="24"/>
        </w:rPr>
        <w:t>asignatura</w:t>
      </w:r>
      <w:r w:rsidR="000D4F3C" w:rsidRPr="00AB398F">
        <w:rPr>
          <w:rFonts w:ascii="Times New Roman" w:hAnsi="Times New Roman"/>
          <w:sz w:val="24"/>
          <w:szCs w:val="24"/>
        </w:rPr>
        <w:t xml:space="preserve"> vi</w:t>
      </w:r>
      <w:r w:rsidR="00D30532" w:rsidRPr="00AB398F">
        <w:rPr>
          <w:rFonts w:ascii="Times New Roman" w:hAnsi="Times New Roman"/>
          <w:sz w:val="24"/>
          <w:szCs w:val="24"/>
        </w:rPr>
        <w:t>r</w:t>
      </w:r>
      <w:r w:rsidR="000D4F3C" w:rsidRPr="00AB398F">
        <w:rPr>
          <w:rFonts w:ascii="Times New Roman" w:hAnsi="Times New Roman"/>
          <w:sz w:val="24"/>
          <w:szCs w:val="24"/>
        </w:rPr>
        <w:t xml:space="preserve">tual, como bien </w:t>
      </w:r>
      <w:r w:rsidR="000D4F3C" w:rsidRPr="00AB398F">
        <w:rPr>
          <w:rFonts w:ascii="Times New Roman" w:hAnsi="Times New Roman"/>
          <w:sz w:val="24"/>
          <w:szCs w:val="24"/>
        </w:rPr>
        <w:lastRenderedPageBreak/>
        <w:t>pueden ser trabajos para entregar, tareas espec</w:t>
      </w:r>
      <w:r w:rsidR="00D30532" w:rsidRPr="00AB398F">
        <w:rPr>
          <w:rFonts w:ascii="Times New Roman" w:hAnsi="Times New Roman"/>
          <w:sz w:val="24"/>
          <w:szCs w:val="24"/>
        </w:rPr>
        <w:t>íficas, y pruebas escritas (e.g., llena blanco, pareo, entre otras).</w:t>
      </w:r>
    </w:p>
    <w:p w14:paraId="229F7E53" w14:textId="77777777" w:rsidR="00E66EEC" w:rsidRPr="00AB398F" w:rsidRDefault="00C31093" w:rsidP="005D4703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 w:rsidRPr="00AB398F">
        <w:rPr>
          <w:rFonts w:ascii="Times New Roman" w:hAnsi="Times New Roman"/>
          <w:sz w:val="24"/>
          <w:szCs w:val="24"/>
        </w:rPr>
        <w:t xml:space="preserve">Una revisión de la literatura apoya los señalamientos de </w:t>
      </w:r>
      <w:proofErr w:type="spellStart"/>
      <w:r w:rsidRPr="00AB398F">
        <w:rPr>
          <w:rFonts w:ascii="Times New Roman" w:hAnsi="Times New Roman"/>
          <w:sz w:val="24"/>
          <w:szCs w:val="24"/>
        </w:rPr>
        <w:t>Oyeleke</w:t>
      </w:r>
      <w:proofErr w:type="spellEnd"/>
      <w:r w:rsidRPr="00AB398F">
        <w:rPr>
          <w:rFonts w:ascii="Times New Roman" w:hAnsi="Times New Roman"/>
          <w:sz w:val="24"/>
          <w:szCs w:val="24"/>
        </w:rPr>
        <w:t xml:space="preserve">, et al. (2015).  </w:t>
      </w:r>
      <w:proofErr w:type="spellStart"/>
      <w:r w:rsidR="00F20147" w:rsidRPr="00AB398F">
        <w:rPr>
          <w:rFonts w:ascii="Times New Roman" w:hAnsi="Times New Roman"/>
          <w:sz w:val="24"/>
          <w:szCs w:val="24"/>
        </w:rPr>
        <w:t>Toetenel</w:t>
      </w:r>
      <w:proofErr w:type="spellEnd"/>
      <w:r w:rsidR="00F20147" w:rsidRPr="00AB398F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="00F20147" w:rsidRPr="00AB398F">
        <w:rPr>
          <w:rFonts w:ascii="Times New Roman" w:hAnsi="Times New Roman"/>
          <w:sz w:val="24"/>
          <w:szCs w:val="24"/>
        </w:rPr>
        <w:t>Rienties</w:t>
      </w:r>
      <w:proofErr w:type="spellEnd"/>
      <w:r w:rsidR="00F20147" w:rsidRPr="00AB398F">
        <w:rPr>
          <w:rFonts w:ascii="Times New Roman" w:hAnsi="Times New Roman"/>
          <w:sz w:val="24"/>
          <w:szCs w:val="24"/>
        </w:rPr>
        <w:t xml:space="preserve"> (2016), evaluaron la variable de </w:t>
      </w:r>
      <w:r w:rsidR="00F20147" w:rsidRPr="00AB398F">
        <w:rPr>
          <w:rFonts w:ascii="Times New Roman" w:hAnsi="Times New Roman"/>
          <w:i/>
          <w:sz w:val="24"/>
          <w:szCs w:val="24"/>
        </w:rPr>
        <w:t>visualización</w:t>
      </w:r>
      <w:r w:rsidR="00F20147" w:rsidRPr="00AB39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20147" w:rsidRPr="00AB398F">
        <w:rPr>
          <w:rFonts w:ascii="Times New Roman" w:hAnsi="Times New Roman"/>
          <w:sz w:val="24"/>
          <w:szCs w:val="24"/>
        </w:rPr>
        <w:t>en relación a</w:t>
      </w:r>
      <w:proofErr w:type="gramEnd"/>
      <w:r w:rsidR="00F20147" w:rsidRPr="00AB398F">
        <w:rPr>
          <w:rFonts w:ascii="Times New Roman" w:hAnsi="Times New Roman"/>
          <w:sz w:val="24"/>
          <w:szCs w:val="24"/>
        </w:rPr>
        <w:t xml:space="preserve"> la etapa de diseño para cursos bajo la modalidad de aprendizaje mezclado y en línea.  Tales </w:t>
      </w:r>
      <w:r w:rsidR="00D828C2" w:rsidRPr="00AB398F">
        <w:rPr>
          <w:rFonts w:ascii="Times New Roman" w:hAnsi="Times New Roman"/>
          <w:sz w:val="24"/>
          <w:szCs w:val="24"/>
        </w:rPr>
        <w:t>autores</w:t>
      </w:r>
      <w:r w:rsidR="00F20147" w:rsidRPr="00AB398F">
        <w:rPr>
          <w:rFonts w:ascii="Times New Roman" w:hAnsi="Times New Roman"/>
          <w:sz w:val="24"/>
          <w:szCs w:val="24"/>
        </w:rPr>
        <w:t xml:space="preserve">, hallaron que los educadores se encuentran más propensos a implementar experiencias pedagógicas que asisten </w:t>
      </w:r>
      <w:r w:rsidR="00541666" w:rsidRPr="00AB398F">
        <w:rPr>
          <w:rFonts w:ascii="Times New Roman" w:hAnsi="Times New Roman"/>
          <w:sz w:val="24"/>
          <w:szCs w:val="24"/>
        </w:rPr>
        <w:t>a</w:t>
      </w:r>
      <w:r w:rsidR="00F20147" w:rsidRPr="00AB398F">
        <w:rPr>
          <w:rFonts w:ascii="Times New Roman" w:hAnsi="Times New Roman"/>
          <w:sz w:val="24"/>
          <w:szCs w:val="24"/>
        </w:rPr>
        <w:t>l desarrollo de habilidades prácticas de los estudiantes, cuando visualizan por adelantado el diseño de aprendizaje para el curso.</w:t>
      </w:r>
      <w:r w:rsidR="00172BEC" w:rsidRPr="00AB398F">
        <w:rPr>
          <w:rFonts w:ascii="Times New Roman" w:hAnsi="Times New Roman"/>
          <w:sz w:val="24"/>
          <w:szCs w:val="24"/>
        </w:rPr>
        <w:t xml:space="preserve">  </w:t>
      </w:r>
      <w:r w:rsidR="00F04D52" w:rsidRPr="00AB398F">
        <w:rPr>
          <w:rFonts w:ascii="Times New Roman" w:hAnsi="Times New Roman"/>
          <w:sz w:val="24"/>
          <w:szCs w:val="24"/>
        </w:rPr>
        <w:t>A partir de un enfoque de tecnología emergente, e</w:t>
      </w:r>
      <w:r w:rsidR="00172BEC" w:rsidRPr="00AB398F">
        <w:rPr>
          <w:rFonts w:ascii="Times New Roman" w:hAnsi="Times New Roman"/>
          <w:sz w:val="24"/>
          <w:szCs w:val="24"/>
        </w:rPr>
        <w:t xml:space="preserve">l modelo de actividades </w:t>
      </w:r>
      <w:r w:rsidR="00F04D52" w:rsidRPr="00AB398F">
        <w:rPr>
          <w:rFonts w:ascii="Times New Roman" w:hAnsi="Times New Roman"/>
          <w:sz w:val="24"/>
          <w:szCs w:val="24"/>
        </w:rPr>
        <w:t>para el</w:t>
      </w:r>
      <w:r w:rsidR="00172BEC" w:rsidRPr="00AB398F">
        <w:rPr>
          <w:rFonts w:ascii="Times New Roman" w:hAnsi="Times New Roman"/>
          <w:sz w:val="24"/>
          <w:szCs w:val="24"/>
        </w:rPr>
        <w:t xml:space="preserve"> aprendizaje posee ventajas prácticas</w:t>
      </w:r>
      <w:r w:rsidR="00F04D52" w:rsidRPr="00AB398F">
        <w:rPr>
          <w:rFonts w:ascii="Times New Roman" w:hAnsi="Times New Roman"/>
          <w:sz w:val="24"/>
          <w:szCs w:val="24"/>
        </w:rPr>
        <w:t>, cuando éste se</w:t>
      </w:r>
      <w:r w:rsidR="00172BEC" w:rsidRPr="00AB398F">
        <w:rPr>
          <w:rFonts w:ascii="Times New Roman" w:hAnsi="Times New Roman"/>
          <w:sz w:val="24"/>
          <w:szCs w:val="24"/>
        </w:rPr>
        <w:t xml:space="preserve"> </w:t>
      </w:r>
      <w:r w:rsidR="00F04D52" w:rsidRPr="00AB398F">
        <w:rPr>
          <w:rFonts w:ascii="Times New Roman" w:hAnsi="Times New Roman"/>
          <w:sz w:val="24"/>
          <w:szCs w:val="24"/>
        </w:rPr>
        <w:t>oriente a</w:t>
      </w:r>
      <w:r w:rsidR="00172BEC" w:rsidRPr="00AB398F">
        <w:rPr>
          <w:rFonts w:ascii="Times New Roman" w:hAnsi="Times New Roman"/>
          <w:sz w:val="24"/>
          <w:szCs w:val="24"/>
        </w:rPr>
        <w:t xml:space="preserve"> curs</w:t>
      </w:r>
      <w:r w:rsidR="00D828C2" w:rsidRPr="00AB398F">
        <w:rPr>
          <w:rFonts w:ascii="Times New Roman" w:hAnsi="Times New Roman"/>
          <w:sz w:val="24"/>
          <w:szCs w:val="24"/>
        </w:rPr>
        <w:t>o</w:t>
      </w:r>
      <w:r w:rsidR="00172BEC" w:rsidRPr="00AB398F">
        <w:rPr>
          <w:rFonts w:ascii="Times New Roman" w:hAnsi="Times New Roman"/>
          <w:sz w:val="24"/>
          <w:szCs w:val="24"/>
        </w:rPr>
        <w:t xml:space="preserve">s en línea </w:t>
      </w:r>
      <w:r w:rsidR="00F04D52" w:rsidRPr="00AB398F">
        <w:rPr>
          <w:rFonts w:ascii="Times New Roman" w:hAnsi="Times New Roman"/>
          <w:sz w:val="24"/>
          <w:szCs w:val="24"/>
        </w:rPr>
        <w:t>ofrecidos por medio de</w:t>
      </w:r>
      <w:r w:rsidR="00172BEC" w:rsidRPr="00AB398F">
        <w:rPr>
          <w:rFonts w:ascii="Times New Roman" w:hAnsi="Times New Roman"/>
          <w:sz w:val="24"/>
          <w:szCs w:val="24"/>
        </w:rPr>
        <w:t xml:space="preserve"> </w:t>
      </w:r>
      <w:r w:rsidR="00D828C2" w:rsidRPr="00AB398F">
        <w:rPr>
          <w:rFonts w:ascii="Times New Roman" w:hAnsi="Times New Roman"/>
          <w:sz w:val="24"/>
          <w:szCs w:val="24"/>
        </w:rPr>
        <w:t>dispositivos</w:t>
      </w:r>
      <w:r w:rsidR="00172BEC" w:rsidRPr="00AB398F">
        <w:rPr>
          <w:rFonts w:ascii="Times New Roman" w:hAnsi="Times New Roman"/>
          <w:sz w:val="24"/>
          <w:szCs w:val="24"/>
        </w:rPr>
        <w:t xml:space="preserve"> móviles (Nouri, </w:t>
      </w:r>
      <w:proofErr w:type="spellStart"/>
      <w:r w:rsidR="00172BEC" w:rsidRPr="00AB398F">
        <w:rPr>
          <w:rFonts w:ascii="Times New Roman" w:hAnsi="Times New Roman"/>
          <w:sz w:val="24"/>
          <w:szCs w:val="24"/>
        </w:rPr>
        <w:t>Spikol</w:t>
      </w:r>
      <w:proofErr w:type="spellEnd"/>
      <w:r w:rsidR="00172BEC" w:rsidRPr="00AB398F">
        <w:rPr>
          <w:rFonts w:ascii="Times New Roman" w:hAnsi="Times New Roman"/>
          <w:sz w:val="24"/>
          <w:szCs w:val="24"/>
        </w:rPr>
        <w:t xml:space="preserve">, &amp; </w:t>
      </w:r>
      <w:proofErr w:type="spellStart"/>
      <w:r w:rsidR="00172BEC" w:rsidRPr="00AB398F">
        <w:rPr>
          <w:rFonts w:ascii="Times New Roman" w:hAnsi="Times New Roman"/>
          <w:sz w:val="24"/>
          <w:szCs w:val="24"/>
        </w:rPr>
        <w:t>Cerratto-Pargman</w:t>
      </w:r>
      <w:proofErr w:type="spellEnd"/>
      <w:r w:rsidR="00172BEC" w:rsidRPr="00AB398F">
        <w:rPr>
          <w:rFonts w:ascii="Times New Roman" w:hAnsi="Times New Roman"/>
          <w:sz w:val="24"/>
          <w:szCs w:val="24"/>
        </w:rPr>
        <w:t>, 2016).</w:t>
      </w:r>
      <w:r w:rsidR="005C44FA" w:rsidRPr="00AB398F">
        <w:rPr>
          <w:rFonts w:ascii="Times New Roman" w:hAnsi="Times New Roman"/>
          <w:sz w:val="24"/>
          <w:szCs w:val="24"/>
        </w:rPr>
        <w:t xml:space="preserve">  </w:t>
      </w:r>
      <w:r w:rsidR="00BF105B" w:rsidRPr="00AB398F">
        <w:rPr>
          <w:rFonts w:ascii="Times New Roman" w:hAnsi="Times New Roman"/>
          <w:sz w:val="24"/>
          <w:szCs w:val="24"/>
        </w:rPr>
        <w:t xml:space="preserve">En un estudio de dos años para un curso virtual de lenguaje, administrado mediante la plataforma de Moodle, </w:t>
      </w:r>
      <w:proofErr w:type="spellStart"/>
      <w:r w:rsidR="00BF105B" w:rsidRPr="00AB398F">
        <w:rPr>
          <w:rFonts w:ascii="Times New Roman" w:hAnsi="Times New Roman"/>
          <w:sz w:val="24"/>
          <w:szCs w:val="24"/>
        </w:rPr>
        <w:t>Hampel</w:t>
      </w:r>
      <w:proofErr w:type="spellEnd"/>
      <w:r w:rsidR="00BF105B" w:rsidRPr="00AB398F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="00BF105B" w:rsidRPr="00AB398F">
        <w:rPr>
          <w:rFonts w:ascii="Times New Roman" w:hAnsi="Times New Roman"/>
          <w:sz w:val="24"/>
          <w:szCs w:val="24"/>
        </w:rPr>
        <w:t>Pleines</w:t>
      </w:r>
      <w:proofErr w:type="spellEnd"/>
      <w:r w:rsidR="00BF105B" w:rsidRPr="00AB398F">
        <w:rPr>
          <w:rFonts w:ascii="Times New Roman" w:hAnsi="Times New Roman"/>
          <w:sz w:val="24"/>
          <w:szCs w:val="24"/>
        </w:rPr>
        <w:t xml:space="preserve"> (2013) evaluaron la efectividad de las herramientas en línea (foros de discusión, wikis y bitácoras virtuales).  </w:t>
      </w:r>
      <w:r w:rsidR="005D4703" w:rsidRPr="00AB398F">
        <w:rPr>
          <w:rFonts w:ascii="Times New Roman" w:hAnsi="Times New Roman"/>
          <w:sz w:val="24"/>
          <w:szCs w:val="24"/>
        </w:rPr>
        <w:t xml:space="preserve">El diseño de actividades implementado en la presente investigación, evidenciaron </w:t>
      </w:r>
      <w:r w:rsidR="00BF105B" w:rsidRPr="00AB398F">
        <w:rPr>
          <w:rFonts w:ascii="Times New Roman" w:hAnsi="Times New Roman"/>
          <w:sz w:val="24"/>
          <w:szCs w:val="24"/>
        </w:rPr>
        <w:t>cambios favorables</w:t>
      </w:r>
      <w:r w:rsidR="005D4703" w:rsidRPr="00AB398F">
        <w:rPr>
          <w:rFonts w:ascii="Times New Roman" w:hAnsi="Times New Roman"/>
          <w:sz w:val="24"/>
          <w:szCs w:val="24"/>
        </w:rPr>
        <w:t xml:space="preserve"> en el aprendizaje entre los alumnos participantes </w:t>
      </w:r>
      <w:proofErr w:type="spellStart"/>
      <w:r w:rsidR="005D4703" w:rsidRPr="00AB398F">
        <w:rPr>
          <w:rFonts w:ascii="Times New Roman" w:hAnsi="Times New Roman"/>
          <w:sz w:val="24"/>
          <w:szCs w:val="24"/>
        </w:rPr>
        <w:t>Hampel</w:t>
      </w:r>
      <w:proofErr w:type="spellEnd"/>
      <w:r w:rsidR="005D4703" w:rsidRPr="00AB398F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="005D4703" w:rsidRPr="00AB398F">
        <w:rPr>
          <w:rFonts w:ascii="Times New Roman" w:hAnsi="Times New Roman"/>
          <w:sz w:val="24"/>
          <w:szCs w:val="24"/>
        </w:rPr>
        <w:t>Pleines</w:t>
      </w:r>
      <w:proofErr w:type="spellEnd"/>
      <w:r w:rsidR="005D4703" w:rsidRPr="00AB398F">
        <w:rPr>
          <w:rFonts w:ascii="Times New Roman" w:hAnsi="Times New Roman"/>
          <w:sz w:val="24"/>
          <w:szCs w:val="24"/>
        </w:rPr>
        <w:t xml:space="preserve"> (2013).</w:t>
      </w:r>
    </w:p>
    <w:p w14:paraId="5BBDFF6E" w14:textId="77777777" w:rsidR="00E66EEC" w:rsidRPr="00AB398F" w:rsidRDefault="00E66EEC" w:rsidP="00E66EEC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98F">
        <w:rPr>
          <w:rFonts w:ascii="Times New Roman" w:hAnsi="Times New Roman"/>
          <w:b/>
          <w:sz w:val="24"/>
          <w:szCs w:val="24"/>
        </w:rPr>
        <w:t>Conclusión</w:t>
      </w:r>
    </w:p>
    <w:p w14:paraId="22FD1187" w14:textId="77777777" w:rsidR="0086187B" w:rsidRPr="00AB398F" w:rsidRDefault="00D42FFC" w:rsidP="00502717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 w:rsidRPr="00AB398F">
        <w:rPr>
          <w:rFonts w:ascii="Times New Roman" w:hAnsi="Times New Roman"/>
          <w:sz w:val="24"/>
          <w:szCs w:val="24"/>
        </w:rPr>
        <w:t xml:space="preserve">Para poder cumplir con las competencias instructivas que contemplan las modalidades </w:t>
      </w:r>
      <w:r w:rsidR="00475A70" w:rsidRPr="00AB398F">
        <w:rPr>
          <w:rFonts w:ascii="Times New Roman" w:hAnsi="Times New Roman"/>
          <w:sz w:val="24"/>
          <w:szCs w:val="24"/>
        </w:rPr>
        <w:t xml:space="preserve">de </w:t>
      </w:r>
      <w:r w:rsidRPr="00AB398F">
        <w:rPr>
          <w:rFonts w:ascii="Times New Roman" w:hAnsi="Times New Roman"/>
          <w:sz w:val="24"/>
          <w:szCs w:val="24"/>
        </w:rPr>
        <w:t>educación virtu</w:t>
      </w:r>
      <w:r w:rsidR="00351BA2" w:rsidRPr="00AB398F">
        <w:rPr>
          <w:rFonts w:ascii="Times New Roman" w:hAnsi="Times New Roman"/>
          <w:sz w:val="24"/>
          <w:szCs w:val="24"/>
        </w:rPr>
        <w:t>al</w:t>
      </w:r>
      <w:r w:rsidRPr="00AB398F">
        <w:rPr>
          <w:rFonts w:ascii="Times New Roman" w:hAnsi="Times New Roman"/>
          <w:sz w:val="24"/>
          <w:szCs w:val="24"/>
        </w:rPr>
        <w:t xml:space="preserve"> y el aprendizaje abierto, es imperante elaborar un currículo que se ajuste a tales metodologías de enseñanza-aprendizaje.  A raíz de esta preocupación, se analizaron tres ideas cruciales que plantean </w:t>
      </w:r>
      <w:proofErr w:type="spellStart"/>
      <w:r w:rsidRPr="00AB398F">
        <w:rPr>
          <w:rFonts w:ascii="Times New Roman" w:hAnsi="Times New Roman"/>
          <w:sz w:val="24"/>
          <w:szCs w:val="24"/>
        </w:rPr>
        <w:t>Oyeleke</w:t>
      </w:r>
      <w:proofErr w:type="spellEnd"/>
      <w:r w:rsidRPr="00AB398F">
        <w:rPr>
          <w:rFonts w:ascii="Times New Roman" w:hAnsi="Times New Roman"/>
          <w:sz w:val="24"/>
          <w:szCs w:val="24"/>
        </w:rPr>
        <w:t xml:space="preserve">, et al. (2015).  El primer punto argumenta la necesidad para desarrollar </w:t>
      </w:r>
      <w:r w:rsidR="00F35B3D" w:rsidRPr="00AB398F">
        <w:rPr>
          <w:rFonts w:ascii="Times New Roman" w:hAnsi="Times New Roman"/>
          <w:sz w:val="24"/>
          <w:szCs w:val="24"/>
        </w:rPr>
        <w:t xml:space="preserve">un diseño curricular flexible. </w:t>
      </w:r>
      <w:r w:rsidR="00475A70" w:rsidRPr="00AB398F">
        <w:rPr>
          <w:rFonts w:ascii="Times New Roman" w:hAnsi="Times New Roman"/>
          <w:sz w:val="24"/>
          <w:szCs w:val="24"/>
        </w:rPr>
        <w:t xml:space="preserve"> </w:t>
      </w:r>
      <w:r w:rsidR="00F35B3D" w:rsidRPr="00AB398F">
        <w:rPr>
          <w:rFonts w:ascii="Times New Roman" w:hAnsi="Times New Roman"/>
          <w:sz w:val="24"/>
          <w:szCs w:val="24"/>
        </w:rPr>
        <w:t>El logro de las expectativas educativas dependerá de una implementación efectiva</w:t>
      </w:r>
      <w:r w:rsidR="00475A70" w:rsidRPr="00AB398F">
        <w:rPr>
          <w:rFonts w:ascii="Times New Roman" w:hAnsi="Times New Roman"/>
          <w:sz w:val="24"/>
          <w:szCs w:val="24"/>
        </w:rPr>
        <w:t xml:space="preserve"> de este modelo flexible.  La literatura científica apoya el uso de tal estructura que incorpora actividades a tiempo real o diferido (</w:t>
      </w:r>
      <w:r w:rsidR="004919DE" w:rsidRPr="00AB398F">
        <w:rPr>
          <w:rFonts w:ascii="Times New Roman" w:hAnsi="Times New Roman"/>
          <w:sz w:val="24"/>
          <w:szCs w:val="24"/>
        </w:rPr>
        <w:t>Lewis et al., 2016).</w:t>
      </w:r>
      <w:r w:rsidR="00C85827" w:rsidRPr="00AB398F">
        <w:rPr>
          <w:rFonts w:ascii="Times New Roman" w:hAnsi="Times New Roman"/>
          <w:sz w:val="24"/>
          <w:szCs w:val="24"/>
        </w:rPr>
        <w:t xml:space="preserve">  El segundo </w:t>
      </w:r>
      <w:r w:rsidR="00C85827" w:rsidRPr="00AB398F">
        <w:rPr>
          <w:rFonts w:ascii="Times New Roman" w:hAnsi="Times New Roman"/>
          <w:sz w:val="24"/>
          <w:szCs w:val="24"/>
        </w:rPr>
        <w:lastRenderedPageBreak/>
        <w:t>punto estable</w:t>
      </w:r>
      <w:r w:rsidR="00726220" w:rsidRPr="00AB398F">
        <w:rPr>
          <w:rFonts w:ascii="Times New Roman" w:hAnsi="Times New Roman"/>
          <w:sz w:val="24"/>
          <w:szCs w:val="24"/>
        </w:rPr>
        <w:t>ce la necesidad de un diseño instructivo para el currículo en línea (</w:t>
      </w:r>
      <w:proofErr w:type="spellStart"/>
      <w:r w:rsidR="00726220" w:rsidRPr="00AB398F">
        <w:rPr>
          <w:rFonts w:ascii="Times New Roman" w:hAnsi="Times New Roman"/>
          <w:sz w:val="24"/>
          <w:szCs w:val="24"/>
        </w:rPr>
        <w:t>Oyeleke</w:t>
      </w:r>
      <w:proofErr w:type="spellEnd"/>
      <w:r w:rsidR="00726220" w:rsidRPr="00AB398F">
        <w:rPr>
          <w:rFonts w:ascii="Times New Roman" w:hAnsi="Times New Roman"/>
          <w:sz w:val="24"/>
          <w:szCs w:val="24"/>
        </w:rPr>
        <w:t xml:space="preserve">, et al., 2015).  Se arguye que el nivel de efectividad de este enfoque dependerá </w:t>
      </w:r>
      <w:r w:rsidR="000A6948" w:rsidRPr="00AB398F">
        <w:rPr>
          <w:rFonts w:ascii="Times New Roman" w:hAnsi="Times New Roman"/>
          <w:sz w:val="24"/>
          <w:szCs w:val="24"/>
        </w:rPr>
        <w:t xml:space="preserve">de su inclusión de variables sociológicas y de </w:t>
      </w:r>
      <w:r w:rsidR="0076185F" w:rsidRPr="00AB398F">
        <w:rPr>
          <w:rFonts w:ascii="Times New Roman" w:hAnsi="Times New Roman"/>
          <w:sz w:val="24"/>
          <w:szCs w:val="24"/>
        </w:rPr>
        <w:t xml:space="preserve">la </w:t>
      </w:r>
      <w:r w:rsidR="000A6948" w:rsidRPr="00AB398F">
        <w:rPr>
          <w:rFonts w:ascii="Times New Roman" w:hAnsi="Times New Roman"/>
          <w:sz w:val="24"/>
          <w:szCs w:val="24"/>
        </w:rPr>
        <w:t>diversidad cultura</w:t>
      </w:r>
      <w:r w:rsidR="00541666" w:rsidRPr="00AB398F">
        <w:rPr>
          <w:rFonts w:ascii="Times New Roman" w:hAnsi="Times New Roman"/>
          <w:sz w:val="24"/>
          <w:szCs w:val="24"/>
        </w:rPr>
        <w:t>l</w:t>
      </w:r>
      <w:r w:rsidR="000A6948" w:rsidRPr="00AB398F">
        <w:rPr>
          <w:rFonts w:ascii="Times New Roman" w:hAnsi="Times New Roman"/>
          <w:sz w:val="24"/>
          <w:szCs w:val="24"/>
        </w:rPr>
        <w:t>.</w:t>
      </w:r>
      <w:r w:rsidR="0076185F" w:rsidRPr="00AB398F">
        <w:rPr>
          <w:rFonts w:ascii="Times New Roman" w:hAnsi="Times New Roman"/>
          <w:sz w:val="24"/>
          <w:szCs w:val="24"/>
        </w:rPr>
        <w:t xml:space="preserve">  En la última idea, los autores (</w:t>
      </w:r>
      <w:proofErr w:type="spellStart"/>
      <w:r w:rsidR="0076185F" w:rsidRPr="00AB398F">
        <w:rPr>
          <w:rFonts w:ascii="Times New Roman" w:hAnsi="Times New Roman"/>
          <w:sz w:val="24"/>
          <w:szCs w:val="24"/>
        </w:rPr>
        <w:t>Oyeleke</w:t>
      </w:r>
      <w:proofErr w:type="spellEnd"/>
      <w:r w:rsidR="0076185F" w:rsidRPr="00AB398F">
        <w:rPr>
          <w:rFonts w:ascii="Times New Roman" w:hAnsi="Times New Roman"/>
          <w:sz w:val="24"/>
          <w:szCs w:val="24"/>
        </w:rPr>
        <w:t xml:space="preserve">, et al., 2015) describen el modelo para las actividades de aprendizaje.  </w:t>
      </w:r>
      <w:r w:rsidR="00B953F6" w:rsidRPr="00AB398F">
        <w:rPr>
          <w:rFonts w:ascii="Times New Roman" w:hAnsi="Times New Roman"/>
          <w:sz w:val="24"/>
          <w:szCs w:val="24"/>
        </w:rPr>
        <w:t>Para poder asegurar una implementación efectiva, e</w:t>
      </w:r>
      <w:r w:rsidR="0076185F" w:rsidRPr="00AB398F">
        <w:rPr>
          <w:rFonts w:ascii="Times New Roman" w:hAnsi="Times New Roman"/>
          <w:sz w:val="24"/>
          <w:szCs w:val="24"/>
        </w:rPr>
        <w:t>l mismo</w:t>
      </w:r>
      <w:r w:rsidR="00B953F6" w:rsidRPr="00AB398F">
        <w:rPr>
          <w:rFonts w:ascii="Times New Roman" w:hAnsi="Times New Roman"/>
          <w:sz w:val="24"/>
          <w:szCs w:val="24"/>
        </w:rPr>
        <w:t xml:space="preserve"> debe considerar las tecnologías emergentes, como lo es el aprendizaje móvil (Nouri, </w:t>
      </w:r>
      <w:proofErr w:type="spellStart"/>
      <w:r w:rsidR="00B953F6" w:rsidRPr="00AB398F">
        <w:rPr>
          <w:rFonts w:ascii="Times New Roman" w:hAnsi="Times New Roman"/>
          <w:sz w:val="24"/>
          <w:szCs w:val="24"/>
        </w:rPr>
        <w:t>Spikol</w:t>
      </w:r>
      <w:proofErr w:type="spellEnd"/>
      <w:r w:rsidR="00B953F6" w:rsidRPr="00AB398F">
        <w:rPr>
          <w:rFonts w:ascii="Times New Roman" w:hAnsi="Times New Roman"/>
          <w:sz w:val="24"/>
          <w:szCs w:val="24"/>
        </w:rPr>
        <w:t xml:space="preserve">, &amp; </w:t>
      </w:r>
      <w:proofErr w:type="spellStart"/>
      <w:r w:rsidR="00B953F6" w:rsidRPr="00AB398F">
        <w:rPr>
          <w:rFonts w:ascii="Times New Roman" w:hAnsi="Times New Roman"/>
          <w:sz w:val="24"/>
          <w:szCs w:val="24"/>
        </w:rPr>
        <w:t>Cerratto-Pargman</w:t>
      </w:r>
      <w:proofErr w:type="spellEnd"/>
      <w:r w:rsidR="00B953F6" w:rsidRPr="00AB398F">
        <w:rPr>
          <w:rFonts w:ascii="Times New Roman" w:hAnsi="Times New Roman"/>
          <w:sz w:val="24"/>
          <w:szCs w:val="24"/>
        </w:rPr>
        <w:t>, 2016).  Tambié</w:t>
      </w:r>
      <w:r w:rsidR="002C77C1" w:rsidRPr="00AB398F">
        <w:rPr>
          <w:rFonts w:ascii="Times New Roman" w:hAnsi="Times New Roman"/>
          <w:sz w:val="24"/>
          <w:szCs w:val="24"/>
        </w:rPr>
        <w:t xml:space="preserve">n, los instructores deben </w:t>
      </w:r>
      <w:r w:rsidR="003332E1" w:rsidRPr="00AB398F">
        <w:rPr>
          <w:rFonts w:ascii="Times New Roman" w:hAnsi="Times New Roman"/>
          <w:sz w:val="24"/>
          <w:szCs w:val="24"/>
        </w:rPr>
        <w:t xml:space="preserve">considerar </w:t>
      </w:r>
      <w:r w:rsidR="00EE29EC" w:rsidRPr="00AB398F">
        <w:rPr>
          <w:rFonts w:ascii="Times New Roman" w:hAnsi="Times New Roman"/>
          <w:sz w:val="24"/>
          <w:szCs w:val="24"/>
        </w:rPr>
        <w:t>otras estrategias al analizar y aplicar este sistema (</w:t>
      </w:r>
      <w:proofErr w:type="spellStart"/>
      <w:r w:rsidR="00EE29EC" w:rsidRPr="00AB398F">
        <w:rPr>
          <w:rFonts w:ascii="Times New Roman" w:hAnsi="Times New Roman"/>
          <w:sz w:val="24"/>
          <w:szCs w:val="24"/>
        </w:rPr>
        <w:t>Toetenel</w:t>
      </w:r>
      <w:proofErr w:type="spellEnd"/>
      <w:r w:rsidR="00EE29EC" w:rsidRPr="00AB398F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="00EE29EC" w:rsidRPr="00AB398F">
        <w:rPr>
          <w:rFonts w:ascii="Times New Roman" w:hAnsi="Times New Roman"/>
          <w:sz w:val="24"/>
          <w:szCs w:val="24"/>
        </w:rPr>
        <w:t>Rienties</w:t>
      </w:r>
      <w:proofErr w:type="spellEnd"/>
      <w:r w:rsidR="00EE29EC" w:rsidRPr="00AB398F">
        <w:rPr>
          <w:rFonts w:ascii="Times New Roman" w:hAnsi="Times New Roman"/>
          <w:sz w:val="24"/>
          <w:szCs w:val="24"/>
        </w:rPr>
        <w:t>, 2016).</w:t>
      </w:r>
    </w:p>
    <w:p w14:paraId="61963777" w14:textId="77777777" w:rsidR="00B35A0D" w:rsidRPr="00AB398F" w:rsidRDefault="00B35A0D" w:rsidP="00502717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 w:rsidRPr="00AB398F">
        <w:rPr>
          <w:rFonts w:ascii="Times New Roman" w:hAnsi="Times New Roman"/>
          <w:sz w:val="24"/>
          <w:szCs w:val="24"/>
        </w:rPr>
        <w:t xml:space="preserve">A través de los años, la evidencia de la literatura científica apoya favorablemente la implementación de los </w:t>
      </w:r>
      <w:r w:rsidR="003F7A43" w:rsidRPr="00AB398F">
        <w:rPr>
          <w:rFonts w:ascii="Times New Roman" w:hAnsi="Times New Roman"/>
          <w:sz w:val="24"/>
          <w:szCs w:val="24"/>
        </w:rPr>
        <w:t>programas académicos</w:t>
      </w:r>
      <w:r w:rsidRPr="00AB398F">
        <w:rPr>
          <w:rFonts w:ascii="Times New Roman" w:hAnsi="Times New Roman"/>
          <w:sz w:val="24"/>
          <w:szCs w:val="24"/>
        </w:rPr>
        <w:t xml:space="preserve"> </w:t>
      </w:r>
      <w:r w:rsidR="003F7A43" w:rsidRPr="00AB398F">
        <w:rPr>
          <w:rFonts w:ascii="Times New Roman" w:hAnsi="Times New Roman"/>
          <w:sz w:val="24"/>
          <w:szCs w:val="24"/>
        </w:rPr>
        <w:t>planificados</w:t>
      </w:r>
      <w:r w:rsidRPr="00AB398F">
        <w:rPr>
          <w:rFonts w:ascii="Times New Roman" w:hAnsi="Times New Roman"/>
          <w:sz w:val="24"/>
          <w:szCs w:val="24"/>
        </w:rPr>
        <w:t xml:space="preserve"> bajo un entorno virtual.  Aun así, </w:t>
      </w:r>
      <w:r w:rsidR="003F7A43" w:rsidRPr="00AB398F">
        <w:rPr>
          <w:rFonts w:ascii="Times New Roman" w:hAnsi="Times New Roman"/>
          <w:sz w:val="24"/>
          <w:szCs w:val="24"/>
        </w:rPr>
        <w:t>es necesario continuar la encomienda de producir una mayor cantidad de investigaciones científicas en diversos segmentos de los modelos curriculares diseñados para impartir actividades pedagógicas</w:t>
      </w:r>
      <w:r w:rsidR="00214D4C" w:rsidRPr="00AB398F">
        <w:rPr>
          <w:rFonts w:ascii="Times New Roman" w:hAnsi="Times New Roman"/>
          <w:sz w:val="24"/>
          <w:szCs w:val="24"/>
        </w:rPr>
        <w:t xml:space="preserve"> efectivas en cursos académicos en línea, de manera que podamos asegurar una alta calidad de enseñanza</w:t>
      </w:r>
      <w:r w:rsidR="00BD35D6" w:rsidRPr="00AB398F">
        <w:rPr>
          <w:rFonts w:ascii="Times New Roman" w:hAnsi="Times New Roman"/>
          <w:sz w:val="24"/>
          <w:szCs w:val="24"/>
        </w:rPr>
        <w:t>, así como un aprendizaje auténtico entre los alumnos matriculados en tales plataformas a distancia.</w:t>
      </w:r>
    </w:p>
    <w:p w14:paraId="5ADABEC0" w14:textId="77777777" w:rsidR="000A164C" w:rsidRPr="00AB398F" w:rsidRDefault="000A164C" w:rsidP="000A164C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98F">
        <w:rPr>
          <w:rFonts w:ascii="Times New Roman" w:hAnsi="Times New Roman"/>
          <w:b/>
          <w:sz w:val="24"/>
          <w:szCs w:val="24"/>
        </w:rPr>
        <w:t>Referenc</w:t>
      </w:r>
      <w:r w:rsidR="00A73B9D" w:rsidRPr="00AB398F">
        <w:rPr>
          <w:rFonts w:ascii="Times New Roman" w:hAnsi="Times New Roman"/>
          <w:b/>
          <w:sz w:val="24"/>
          <w:szCs w:val="24"/>
        </w:rPr>
        <w:t>ias</w:t>
      </w:r>
    </w:p>
    <w:p w14:paraId="14D4A285" w14:textId="77777777" w:rsidR="000A164C" w:rsidRPr="0092016C" w:rsidRDefault="000A164C" w:rsidP="00A76277">
      <w:pPr>
        <w:spacing w:after="0" w:line="480" w:lineRule="auto"/>
        <w:ind w:left="706" w:hanging="706"/>
        <w:rPr>
          <w:rFonts w:ascii="Times New Roman" w:hAnsi="Times New Roman"/>
          <w:sz w:val="24"/>
          <w:szCs w:val="24"/>
          <w:lang w:val="en-US"/>
        </w:rPr>
      </w:pPr>
      <w:r w:rsidRPr="00AB398F">
        <w:rPr>
          <w:rFonts w:ascii="Times New Roman" w:hAnsi="Times New Roman"/>
          <w:sz w:val="24"/>
          <w:szCs w:val="24"/>
        </w:rPr>
        <w:t xml:space="preserve">Allen, I. E., &amp; </w:t>
      </w:r>
      <w:proofErr w:type="spellStart"/>
      <w:r w:rsidRPr="00AB398F">
        <w:rPr>
          <w:rFonts w:ascii="Times New Roman" w:hAnsi="Times New Roman"/>
          <w:sz w:val="24"/>
          <w:szCs w:val="24"/>
        </w:rPr>
        <w:t>Seaman</w:t>
      </w:r>
      <w:proofErr w:type="spellEnd"/>
      <w:r w:rsidRPr="00AB398F">
        <w:rPr>
          <w:rFonts w:ascii="Times New Roman" w:hAnsi="Times New Roman"/>
          <w:sz w:val="24"/>
          <w:szCs w:val="24"/>
        </w:rPr>
        <w:t xml:space="preserve">, J. (2015, 5 de febrero). 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Grade level: Tracking online education in the United States. </w:t>
      </w:r>
      <w:proofErr w:type="spellStart"/>
      <w:r w:rsidRPr="0092016C">
        <w:rPr>
          <w:rFonts w:ascii="Times New Roman" w:hAnsi="Times New Roman"/>
          <w:sz w:val="24"/>
          <w:szCs w:val="24"/>
          <w:lang w:val="en-US"/>
        </w:rPr>
        <w:t>Recuperado</w:t>
      </w:r>
      <w:proofErr w:type="spellEnd"/>
      <w:r w:rsidRPr="0092016C">
        <w:rPr>
          <w:rFonts w:ascii="Times New Roman" w:hAnsi="Times New Roman"/>
          <w:sz w:val="24"/>
          <w:szCs w:val="24"/>
          <w:lang w:val="en-US"/>
        </w:rPr>
        <w:t xml:space="preserve"> de http://www.onlinelearningsurvey.com/reports/gradelevel.pdf</w:t>
      </w:r>
    </w:p>
    <w:p w14:paraId="3C6B88D5" w14:textId="77777777" w:rsidR="000A164C" w:rsidRPr="001603A3" w:rsidRDefault="000A164C" w:rsidP="000A164C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92016C">
        <w:rPr>
          <w:rFonts w:ascii="Times New Roman" w:hAnsi="Times New Roman"/>
          <w:sz w:val="24"/>
          <w:szCs w:val="24"/>
          <w:lang w:val="en-US"/>
        </w:rPr>
        <w:t xml:space="preserve">Allen, I. E., &amp; Seaman, J. (2013). 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Grade change: Tracking online education in the United States, 2013. </w:t>
      </w:r>
      <w:r w:rsidRPr="001603A3">
        <w:rPr>
          <w:rFonts w:ascii="Times New Roman" w:hAnsi="Times New Roman"/>
          <w:i/>
          <w:sz w:val="24"/>
          <w:szCs w:val="24"/>
          <w:lang w:val="en-US"/>
        </w:rPr>
        <w:t>The Sloan Consortium, 2013 Survey of Online Learning Report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1603A3">
        <w:rPr>
          <w:rFonts w:ascii="Times New Roman" w:hAnsi="Times New Roman"/>
          <w:sz w:val="24"/>
          <w:szCs w:val="24"/>
          <w:lang w:val="en-US"/>
        </w:rPr>
        <w:t>Recuperado</w:t>
      </w:r>
      <w:proofErr w:type="spellEnd"/>
      <w:r w:rsidRPr="001603A3">
        <w:rPr>
          <w:rFonts w:ascii="Times New Roman" w:hAnsi="Times New Roman"/>
          <w:sz w:val="24"/>
          <w:szCs w:val="24"/>
          <w:lang w:val="en-US"/>
        </w:rPr>
        <w:t xml:space="preserve"> de http://www.onlinelearningsurvey.com/reports/gradechange.pdf</w:t>
      </w:r>
    </w:p>
    <w:p w14:paraId="046D15EB" w14:textId="77777777" w:rsidR="000A164C" w:rsidRPr="001603A3" w:rsidRDefault="000A164C" w:rsidP="000A164C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1603A3">
        <w:rPr>
          <w:rFonts w:ascii="Times New Roman" w:hAnsi="Times New Roman"/>
          <w:sz w:val="24"/>
          <w:szCs w:val="24"/>
          <w:lang w:val="en-US"/>
        </w:rPr>
        <w:lastRenderedPageBreak/>
        <w:t xml:space="preserve">Allen, E., &amp; Seaman, J. (2011). </w:t>
      </w:r>
      <w:r w:rsidRPr="001603A3">
        <w:rPr>
          <w:rFonts w:ascii="Times New Roman" w:hAnsi="Times New Roman"/>
          <w:i/>
          <w:sz w:val="24"/>
          <w:szCs w:val="24"/>
          <w:lang w:val="en-US"/>
        </w:rPr>
        <w:t>Going the distance: Online education in the United States, 2011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. Babson Survey Research Group and Quahog Research Group, LLC. </w:t>
      </w:r>
      <w:proofErr w:type="spellStart"/>
      <w:r w:rsidRPr="001603A3">
        <w:rPr>
          <w:rFonts w:ascii="Times New Roman" w:hAnsi="Times New Roman"/>
          <w:sz w:val="24"/>
          <w:szCs w:val="24"/>
          <w:lang w:val="en-US"/>
        </w:rPr>
        <w:t>Recuperado</w:t>
      </w:r>
      <w:proofErr w:type="spellEnd"/>
      <w:r w:rsidRPr="001603A3">
        <w:rPr>
          <w:rFonts w:ascii="Times New Roman" w:hAnsi="Times New Roman"/>
          <w:sz w:val="24"/>
          <w:szCs w:val="24"/>
          <w:lang w:val="en-US"/>
        </w:rPr>
        <w:t xml:space="preserve"> de http://www.onlinelearningsurvey.com/reports/goingthedistance.pdf</w:t>
      </w:r>
    </w:p>
    <w:p w14:paraId="67EE973C" w14:textId="77777777" w:rsidR="00702444" w:rsidRPr="001603A3" w:rsidRDefault="00702444" w:rsidP="000A164C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1603A3">
        <w:rPr>
          <w:rFonts w:ascii="Times New Roman" w:hAnsi="Times New Roman"/>
          <w:sz w:val="24"/>
          <w:szCs w:val="24"/>
          <w:lang w:val="en-US"/>
        </w:rPr>
        <w:t xml:space="preserve">Ashfaq, M., Chaudry, M. A., &amp; Iqbal, M. J. (2016). Instruction design system of Allama Iqbal Open University: A vehicle for improvement or mere a </w:t>
      </w:r>
      <w:proofErr w:type="spellStart"/>
      <w:r w:rsidRPr="001603A3">
        <w:rPr>
          <w:rFonts w:ascii="Times New Roman" w:hAnsi="Times New Roman"/>
          <w:sz w:val="24"/>
          <w:szCs w:val="24"/>
          <w:lang w:val="en-US"/>
        </w:rPr>
        <w:t>salogon</w:t>
      </w:r>
      <w:proofErr w:type="spellEnd"/>
      <w:r w:rsidRPr="001603A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1603A3">
        <w:rPr>
          <w:rFonts w:ascii="Times New Roman" w:hAnsi="Times New Roman"/>
          <w:i/>
          <w:sz w:val="24"/>
          <w:szCs w:val="24"/>
          <w:lang w:val="en-US"/>
        </w:rPr>
        <w:t>Turkish Online Journal of Distance Education, 17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(1), 48-59. </w:t>
      </w:r>
      <w:proofErr w:type="spellStart"/>
      <w:r w:rsidRPr="001603A3">
        <w:rPr>
          <w:rFonts w:ascii="Times New Roman" w:hAnsi="Times New Roman"/>
          <w:sz w:val="24"/>
          <w:szCs w:val="24"/>
          <w:lang w:val="en-US"/>
        </w:rPr>
        <w:t>Recuperado</w:t>
      </w:r>
      <w:proofErr w:type="spellEnd"/>
      <w:r w:rsidRPr="001603A3">
        <w:rPr>
          <w:rFonts w:ascii="Times New Roman" w:hAnsi="Times New Roman"/>
          <w:sz w:val="24"/>
          <w:szCs w:val="24"/>
          <w:lang w:val="en-US"/>
        </w:rPr>
        <w:t xml:space="preserve"> de http://tojde.anadolu.edu.tr/yonetim/icerik/makaleler/1260-published.pdf</w:t>
      </w:r>
    </w:p>
    <w:p w14:paraId="472CC1D9" w14:textId="77777777" w:rsidR="00F479B7" w:rsidRPr="001603A3" w:rsidRDefault="000A164C" w:rsidP="000A164C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92016C">
        <w:rPr>
          <w:rFonts w:ascii="Times New Roman" w:hAnsi="Times New Roman"/>
          <w:sz w:val="24"/>
          <w:szCs w:val="24"/>
          <w:lang w:val="en-US"/>
        </w:rPr>
        <w:t xml:space="preserve">Bata-Jones, B., &amp; Avery, M. D. (2004). 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Teaching pharmacology to graduate nursing students: evaluation and comparison of Web-based and face-to-face methods. </w:t>
      </w:r>
      <w:r w:rsidRPr="001603A3">
        <w:rPr>
          <w:rFonts w:ascii="Times New Roman" w:hAnsi="Times New Roman"/>
          <w:i/>
          <w:sz w:val="24"/>
          <w:szCs w:val="24"/>
          <w:lang w:val="en-US"/>
        </w:rPr>
        <w:t>The Journal of Nursing Education, 43</w:t>
      </w:r>
      <w:r w:rsidR="00F479B7" w:rsidRPr="001603A3">
        <w:rPr>
          <w:rFonts w:ascii="Times New Roman" w:hAnsi="Times New Roman"/>
          <w:sz w:val="24"/>
          <w:szCs w:val="24"/>
          <w:lang w:val="en-US"/>
        </w:rPr>
        <w:t>, 185-189</w:t>
      </w:r>
    </w:p>
    <w:p w14:paraId="1B156EA3" w14:textId="77777777" w:rsidR="000876A8" w:rsidRPr="001603A3" w:rsidRDefault="000A164C" w:rsidP="000A164C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1603A3">
        <w:rPr>
          <w:rFonts w:ascii="Times New Roman" w:hAnsi="Times New Roman"/>
          <w:sz w:val="24"/>
          <w:szCs w:val="24"/>
          <w:lang w:val="en-US"/>
        </w:rPr>
        <w:t>Campbell, M., Gibson, W., Hall, A., Richards, D., &amp; Callery, P. (2008). Online vs. face-to-face discussion in a Web-based research methods course for postgraduate nursing students: a quasi-experimental study [</w:t>
      </w:r>
      <w:proofErr w:type="spellStart"/>
      <w:r w:rsidRPr="001603A3">
        <w:rPr>
          <w:rFonts w:ascii="Times New Roman" w:hAnsi="Times New Roman"/>
          <w:sz w:val="24"/>
          <w:szCs w:val="24"/>
          <w:lang w:val="en-US"/>
        </w:rPr>
        <w:t>Reseña</w:t>
      </w:r>
      <w:proofErr w:type="spellEnd"/>
      <w:r w:rsidRPr="001603A3">
        <w:rPr>
          <w:rFonts w:ascii="Times New Roman" w:hAnsi="Times New Roman"/>
          <w:sz w:val="24"/>
          <w:szCs w:val="24"/>
          <w:lang w:val="en-US"/>
        </w:rPr>
        <w:t xml:space="preserve">]. </w:t>
      </w:r>
      <w:r w:rsidRPr="001603A3">
        <w:rPr>
          <w:rFonts w:ascii="Times New Roman" w:hAnsi="Times New Roman"/>
          <w:i/>
          <w:sz w:val="24"/>
          <w:szCs w:val="24"/>
          <w:lang w:val="en-US"/>
        </w:rPr>
        <w:t>International Journal of Nursing Studies, 45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, 750-759. </w:t>
      </w:r>
      <w:proofErr w:type="spellStart"/>
      <w:proofErr w:type="gramStart"/>
      <w:r w:rsidRPr="001603A3">
        <w:rPr>
          <w:rFonts w:ascii="Times New Roman" w:hAnsi="Times New Roman"/>
          <w:sz w:val="24"/>
          <w:szCs w:val="24"/>
          <w:lang w:val="en-US"/>
        </w:rPr>
        <w:t>doi:http</w:t>
      </w:r>
      <w:proofErr w:type="spellEnd"/>
      <w:r w:rsidRPr="001603A3">
        <w:rPr>
          <w:rFonts w:ascii="Times New Roman" w:hAnsi="Times New Roman"/>
          <w:sz w:val="24"/>
          <w:szCs w:val="24"/>
          <w:lang w:val="en-US"/>
        </w:rPr>
        <w:t>://dx.doi.org/10.1016/j.ijnurstu.2006.12.011</w:t>
      </w:r>
      <w:proofErr w:type="gramEnd"/>
      <w:r w:rsidRPr="001603A3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20421DA9" w14:textId="77777777" w:rsidR="000A164C" w:rsidRPr="001603A3" w:rsidRDefault="000A164C" w:rsidP="000A164C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AB398F">
        <w:rPr>
          <w:rFonts w:ascii="Times New Roman" w:hAnsi="Times New Roman"/>
          <w:sz w:val="24"/>
          <w:szCs w:val="24"/>
        </w:rPr>
        <w:t xml:space="preserve">Coma Del Corral, M. J., Guevara, J. C., Luquin, P. A., Peña, H. J., &amp; Mateos Otero, J. J. (2006). 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Usefulness of an </w:t>
      </w:r>
      <w:r w:rsidR="00C24ED1" w:rsidRPr="001603A3">
        <w:rPr>
          <w:rFonts w:ascii="Times New Roman" w:hAnsi="Times New Roman"/>
          <w:sz w:val="24"/>
          <w:szCs w:val="24"/>
          <w:lang w:val="en-US"/>
        </w:rPr>
        <w:t>I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nternet-based thematic learning network: comparison of effectiveness with traditional teaching. </w:t>
      </w:r>
      <w:r w:rsidRPr="001603A3">
        <w:rPr>
          <w:rFonts w:ascii="Times New Roman" w:hAnsi="Times New Roman"/>
          <w:i/>
          <w:sz w:val="24"/>
          <w:szCs w:val="24"/>
          <w:lang w:val="en-US"/>
        </w:rPr>
        <w:t>Medical Informatics and the Internet in Medicine, 31</w:t>
      </w:r>
      <w:r w:rsidR="000876A8" w:rsidRPr="001603A3">
        <w:rPr>
          <w:rFonts w:ascii="Times New Roman" w:hAnsi="Times New Roman"/>
          <w:sz w:val="24"/>
          <w:szCs w:val="24"/>
          <w:lang w:val="en-US"/>
        </w:rPr>
        <w:t>, 59-66</w:t>
      </w:r>
    </w:p>
    <w:p w14:paraId="2378A9F3" w14:textId="77777777" w:rsidR="000A164C" w:rsidRPr="001603A3" w:rsidRDefault="000A164C" w:rsidP="000A164C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1603A3">
        <w:rPr>
          <w:rFonts w:ascii="Times New Roman" w:hAnsi="Times New Roman"/>
          <w:sz w:val="24"/>
          <w:szCs w:val="24"/>
          <w:lang w:val="en-US"/>
        </w:rPr>
        <w:t xml:space="preserve">Crowell, L. F., &amp; McCarragher, T. (2007). Delivering a </w:t>
      </w:r>
      <w:r w:rsidR="00F1771E" w:rsidRPr="001603A3">
        <w:rPr>
          <w:rFonts w:ascii="Times New Roman" w:hAnsi="Times New Roman"/>
          <w:sz w:val="24"/>
          <w:szCs w:val="24"/>
          <w:lang w:val="en-US"/>
        </w:rPr>
        <w:t>s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ocial </w:t>
      </w:r>
      <w:r w:rsidR="00F1771E" w:rsidRPr="001603A3">
        <w:rPr>
          <w:rFonts w:ascii="Times New Roman" w:hAnsi="Times New Roman"/>
          <w:sz w:val="24"/>
          <w:szCs w:val="24"/>
          <w:lang w:val="en-US"/>
        </w:rPr>
        <w:t>w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ork MSW </w:t>
      </w:r>
      <w:r w:rsidR="00F1771E" w:rsidRPr="001603A3">
        <w:rPr>
          <w:rFonts w:ascii="Times New Roman" w:hAnsi="Times New Roman"/>
          <w:sz w:val="24"/>
          <w:szCs w:val="24"/>
          <w:lang w:val="en-US"/>
        </w:rPr>
        <w:t>p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rogram through </w:t>
      </w:r>
      <w:r w:rsidR="00F1771E" w:rsidRPr="001603A3">
        <w:rPr>
          <w:rFonts w:ascii="Times New Roman" w:hAnsi="Times New Roman"/>
          <w:sz w:val="24"/>
          <w:szCs w:val="24"/>
          <w:lang w:val="en-US"/>
        </w:rPr>
        <w:t>d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istance </w:t>
      </w:r>
      <w:r w:rsidR="00F1771E" w:rsidRPr="001603A3">
        <w:rPr>
          <w:rFonts w:ascii="Times New Roman" w:hAnsi="Times New Roman"/>
          <w:sz w:val="24"/>
          <w:szCs w:val="24"/>
          <w:lang w:val="en-US"/>
        </w:rPr>
        <w:t>e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ducation: An </w:t>
      </w:r>
      <w:r w:rsidR="00F1771E" w:rsidRPr="001603A3">
        <w:rPr>
          <w:rFonts w:ascii="Times New Roman" w:hAnsi="Times New Roman"/>
          <w:sz w:val="24"/>
          <w:szCs w:val="24"/>
          <w:lang w:val="en-US"/>
        </w:rPr>
        <w:t>i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nnovative </w:t>
      </w:r>
      <w:r w:rsidR="00F1771E" w:rsidRPr="001603A3">
        <w:rPr>
          <w:rFonts w:ascii="Times New Roman" w:hAnsi="Times New Roman"/>
          <w:sz w:val="24"/>
          <w:szCs w:val="24"/>
          <w:lang w:val="en-US"/>
        </w:rPr>
        <w:t>c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ollaboration between </w:t>
      </w:r>
      <w:r w:rsidR="00F1771E" w:rsidRPr="001603A3">
        <w:rPr>
          <w:rFonts w:ascii="Times New Roman" w:hAnsi="Times New Roman"/>
          <w:sz w:val="24"/>
          <w:szCs w:val="24"/>
          <w:lang w:val="en-US"/>
        </w:rPr>
        <w:t>t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wo </w:t>
      </w:r>
      <w:r w:rsidR="00F1771E" w:rsidRPr="001603A3">
        <w:rPr>
          <w:rFonts w:ascii="Times New Roman" w:hAnsi="Times New Roman"/>
          <w:sz w:val="24"/>
          <w:szCs w:val="24"/>
          <w:lang w:val="en-US"/>
        </w:rPr>
        <w:t>u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niversities, USA. </w:t>
      </w:r>
      <w:r w:rsidRPr="001603A3">
        <w:rPr>
          <w:rFonts w:ascii="Times New Roman" w:hAnsi="Times New Roman"/>
          <w:i/>
          <w:sz w:val="24"/>
          <w:szCs w:val="24"/>
          <w:lang w:val="en-US"/>
        </w:rPr>
        <w:t>Social Work Education, 26</w:t>
      </w:r>
      <w:r w:rsidRPr="001603A3">
        <w:rPr>
          <w:rFonts w:ascii="Times New Roman" w:hAnsi="Times New Roman"/>
          <w:sz w:val="24"/>
          <w:szCs w:val="24"/>
          <w:lang w:val="en-US"/>
        </w:rPr>
        <w:t>, 376-388. doi:1</w:t>
      </w:r>
      <w:r w:rsidR="000876A8" w:rsidRPr="001603A3">
        <w:rPr>
          <w:rFonts w:ascii="Times New Roman" w:hAnsi="Times New Roman"/>
          <w:sz w:val="24"/>
          <w:szCs w:val="24"/>
          <w:lang w:val="en-US"/>
        </w:rPr>
        <w:t>0.1080/02615470601081688</w:t>
      </w:r>
    </w:p>
    <w:p w14:paraId="671C82AD" w14:textId="77777777" w:rsidR="00322AC0" w:rsidRPr="001603A3" w:rsidRDefault="000A164C" w:rsidP="000A164C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1603A3">
        <w:rPr>
          <w:rFonts w:ascii="Times New Roman" w:hAnsi="Times New Roman"/>
          <w:sz w:val="24"/>
          <w:szCs w:val="24"/>
          <w:lang w:val="en-US"/>
        </w:rPr>
        <w:t xml:space="preserve">Durak, G., &amp; Ataizi, M. (2016). The </w:t>
      </w:r>
      <w:proofErr w:type="gramStart"/>
      <w:r w:rsidRPr="001603A3">
        <w:rPr>
          <w:rFonts w:ascii="Times New Roman" w:hAnsi="Times New Roman"/>
          <w:sz w:val="24"/>
          <w:szCs w:val="24"/>
          <w:lang w:val="en-US"/>
        </w:rPr>
        <w:t>ABC’s of</w:t>
      </w:r>
      <w:proofErr w:type="gramEnd"/>
      <w:r w:rsidRPr="001603A3">
        <w:rPr>
          <w:rFonts w:ascii="Times New Roman" w:hAnsi="Times New Roman"/>
          <w:sz w:val="24"/>
          <w:szCs w:val="24"/>
          <w:lang w:val="en-US"/>
        </w:rPr>
        <w:t xml:space="preserve"> online course design according to Addie model. </w:t>
      </w:r>
      <w:r w:rsidRPr="001603A3">
        <w:rPr>
          <w:rFonts w:ascii="Times New Roman" w:hAnsi="Times New Roman"/>
          <w:i/>
          <w:sz w:val="24"/>
          <w:szCs w:val="24"/>
          <w:lang w:val="en-US"/>
        </w:rPr>
        <w:t>Universal Journal of Educational Research 4</w:t>
      </w:r>
      <w:r w:rsidRPr="001603A3">
        <w:rPr>
          <w:rFonts w:ascii="Times New Roman" w:hAnsi="Times New Roman"/>
          <w:sz w:val="24"/>
          <w:szCs w:val="24"/>
          <w:lang w:val="en-US"/>
        </w:rPr>
        <w:t>, 2084-2091. doi:10.13189/</w:t>
      </w:r>
      <w:r w:rsidR="00322AC0" w:rsidRPr="001603A3">
        <w:rPr>
          <w:rFonts w:ascii="Times New Roman" w:hAnsi="Times New Roman"/>
          <w:sz w:val="24"/>
          <w:szCs w:val="24"/>
          <w:lang w:val="en-US"/>
        </w:rPr>
        <w:t>ujer.2016.040920</w:t>
      </w:r>
    </w:p>
    <w:p w14:paraId="4BCE17EA" w14:textId="77777777" w:rsidR="00654122" w:rsidRPr="0092016C" w:rsidRDefault="003465F1" w:rsidP="007D18FA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  <w:lang w:val="pt-BR"/>
        </w:rPr>
      </w:pPr>
      <w:r w:rsidRPr="001603A3">
        <w:rPr>
          <w:rFonts w:ascii="Times New Roman" w:hAnsi="Times New Roman"/>
          <w:sz w:val="24"/>
          <w:szCs w:val="24"/>
          <w:lang w:val="en-US"/>
        </w:rPr>
        <w:lastRenderedPageBreak/>
        <w:t xml:space="preserve">Farahmand, S., Jalili, E., Arbab, M., Sedaghat, M., Shirazi, M., Keshmiri, F., &amp; ... Bagheri-Hariri, S. (2016). Distance learning can be as effective as traditional learning for </w:t>
      </w:r>
      <w:r w:rsidR="00F1771E" w:rsidRPr="001603A3">
        <w:rPr>
          <w:rFonts w:ascii="Times New Roman" w:hAnsi="Times New Roman"/>
          <w:sz w:val="24"/>
          <w:szCs w:val="24"/>
          <w:lang w:val="en-US"/>
        </w:rPr>
        <w:t>m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edical students in the initial assessment of trauma patients. </w:t>
      </w:r>
      <w:r w:rsidRPr="0092016C">
        <w:rPr>
          <w:rFonts w:ascii="Times New Roman" w:hAnsi="Times New Roman"/>
          <w:i/>
          <w:sz w:val="24"/>
          <w:szCs w:val="24"/>
          <w:lang w:val="pt-BR"/>
        </w:rPr>
        <w:t>Acta Medica Iranica, 54</w:t>
      </w:r>
      <w:r w:rsidRPr="0092016C">
        <w:rPr>
          <w:rFonts w:ascii="Times New Roman" w:hAnsi="Times New Roman"/>
          <w:sz w:val="24"/>
          <w:szCs w:val="24"/>
          <w:lang w:val="pt-BR"/>
        </w:rPr>
        <w:t>, 600-604. Recuperado de http://acta.tums.ac.ir/index.php/acta/article/viewFile/5034/4838</w:t>
      </w:r>
    </w:p>
    <w:p w14:paraId="3C784985" w14:textId="77777777" w:rsidR="004A2822" w:rsidRPr="001603A3" w:rsidRDefault="004A2822" w:rsidP="000A164C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1603A3">
        <w:rPr>
          <w:rFonts w:ascii="Times New Roman" w:hAnsi="Times New Roman"/>
          <w:sz w:val="24"/>
          <w:szCs w:val="24"/>
          <w:lang w:val="en-US"/>
        </w:rPr>
        <w:t xml:space="preserve">Hampel, R., &amp; Pleines, C. (2013). Fostering student interaction and engagement in a virtual learning environment: an investigation into activity design and implementation. </w:t>
      </w:r>
      <w:r w:rsidRPr="001603A3">
        <w:rPr>
          <w:rFonts w:ascii="Times New Roman" w:hAnsi="Times New Roman"/>
          <w:i/>
          <w:sz w:val="24"/>
          <w:szCs w:val="24"/>
          <w:lang w:val="en-US"/>
        </w:rPr>
        <w:t>CALICO Journal, 30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, 342-370. </w:t>
      </w:r>
      <w:proofErr w:type="spellStart"/>
      <w:proofErr w:type="gramStart"/>
      <w:r w:rsidR="00B341BC" w:rsidRPr="001603A3">
        <w:rPr>
          <w:rFonts w:ascii="Times New Roman" w:hAnsi="Times New Roman"/>
          <w:sz w:val="24"/>
          <w:szCs w:val="24"/>
          <w:lang w:val="en-US"/>
        </w:rPr>
        <w:t>doi:http</w:t>
      </w:r>
      <w:proofErr w:type="spellEnd"/>
      <w:r w:rsidR="00B341BC" w:rsidRPr="001603A3">
        <w:rPr>
          <w:rFonts w:ascii="Times New Roman" w:hAnsi="Times New Roman"/>
          <w:sz w:val="24"/>
          <w:szCs w:val="24"/>
          <w:lang w:val="en-US"/>
        </w:rPr>
        <w:t>://dx.doi.org/10.11139/cj.30.3.342-370</w:t>
      </w:r>
      <w:proofErr w:type="gramEnd"/>
    </w:p>
    <w:p w14:paraId="6DA9412A" w14:textId="77777777" w:rsidR="000A164C" w:rsidRPr="001603A3" w:rsidRDefault="000A164C" w:rsidP="000A164C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1603A3">
        <w:rPr>
          <w:rFonts w:ascii="Times New Roman" w:hAnsi="Times New Roman"/>
          <w:sz w:val="24"/>
          <w:szCs w:val="24"/>
          <w:lang w:val="en-US"/>
        </w:rPr>
        <w:t xml:space="preserve">Huckstadt, A., &amp; Hayes, K. (2005). Evaluation of interactive online courses for advanced practice nurses. </w:t>
      </w:r>
      <w:r w:rsidRPr="001603A3">
        <w:rPr>
          <w:rFonts w:ascii="Times New Roman" w:hAnsi="Times New Roman"/>
          <w:i/>
          <w:sz w:val="24"/>
          <w:szCs w:val="24"/>
          <w:lang w:val="en-US"/>
        </w:rPr>
        <w:t>Journal of The American Academy of Nurse Practitioners, 17</w:t>
      </w:r>
      <w:r w:rsidR="000876A8" w:rsidRPr="001603A3">
        <w:rPr>
          <w:rFonts w:ascii="Times New Roman" w:hAnsi="Times New Roman"/>
          <w:sz w:val="24"/>
          <w:szCs w:val="24"/>
          <w:lang w:val="en-US"/>
        </w:rPr>
        <w:t>, 85-89</w:t>
      </w:r>
    </w:p>
    <w:p w14:paraId="1135DDE6" w14:textId="77777777" w:rsidR="000A164C" w:rsidRPr="001603A3" w:rsidRDefault="000A164C" w:rsidP="000A164C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1603A3">
        <w:rPr>
          <w:rFonts w:ascii="Times New Roman" w:hAnsi="Times New Roman"/>
          <w:sz w:val="24"/>
          <w:szCs w:val="24"/>
          <w:lang w:val="en-US"/>
        </w:rPr>
        <w:t xml:space="preserve">Larson, D., &amp; Sung, C. (2009). Comparing student performance: Online versus blended versus face to face. </w:t>
      </w:r>
      <w:r w:rsidRPr="001603A3">
        <w:rPr>
          <w:rFonts w:ascii="Times New Roman" w:hAnsi="Times New Roman"/>
          <w:i/>
          <w:sz w:val="24"/>
          <w:szCs w:val="24"/>
          <w:lang w:val="en-US"/>
        </w:rPr>
        <w:t>Journal of Asynchronous Learning Networks, 13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, 31–42. </w:t>
      </w:r>
      <w:proofErr w:type="spellStart"/>
      <w:r w:rsidRPr="001603A3">
        <w:rPr>
          <w:rFonts w:ascii="Times New Roman" w:hAnsi="Times New Roman"/>
          <w:sz w:val="24"/>
          <w:szCs w:val="24"/>
          <w:lang w:val="en-US"/>
        </w:rPr>
        <w:t>Recuperado</w:t>
      </w:r>
      <w:proofErr w:type="spellEnd"/>
      <w:r w:rsidRPr="001603A3">
        <w:rPr>
          <w:rFonts w:ascii="Times New Roman" w:hAnsi="Times New Roman"/>
          <w:sz w:val="24"/>
          <w:szCs w:val="24"/>
          <w:lang w:val="en-US"/>
        </w:rPr>
        <w:t xml:space="preserve"> de https://idt7895.files.wordpress.com/2009/05/comparing-student-performance-in-different-delivery-methods.pdf</w:t>
      </w:r>
    </w:p>
    <w:p w14:paraId="5A8E7AEC" w14:textId="77777777" w:rsidR="000A164C" w:rsidRPr="001603A3" w:rsidRDefault="00F33DD4" w:rsidP="000A164C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1603A3">
        <w:rPr>
          <w:rFonts w:ascii="Times New Roman" w:hAnsi="Times New Roman"/>
          <w:sz w:val="24"/>
          <w:szCs w:val="24"/>
          <w:lang w:val="en-US"/>
        </w:rPr>
        <w:t xml:space="preserve">Lewis, P. A., </w:t>
      </w:r>
      <w:proofErr w:type="spellStart"/>
      <w:r w:rsidRPr="001603A3">
        <w:rPr>
          <w:rFonts w:ascii="Times New Roman" w:hAnsi="Times New Roman"/>
          <w:sz w:val="24"/>
          <w:szCs w:val="24"/>
          <w:lang w:val="en-US"/>
        </w:rPr>
        <w:t>Tutticci</w:t>
      </w:r>
      <w:proofErr w:type="spellEnd"/>
      <w:r w:rsidRPr="001603A3">
        <w:rPr>
          <w:rFonts w:ascii="Times New Roman" w:hAnsi="Times New Roman"/>
          <w:sz w:val="24"/>
          <w:szCs w:val="24"/>
          <w:lang w:val="en-US"/>
        </w:rPr>
        <w:t xml:space="preserve">, N. F., Douglas, C., Gray, G., Osborne, Y., Evans, K., &amp; Nielson, C. M. (2016). Flexible learning: Evaluation of an international distance education </w:t>
      </w:r>
      <w:proofErr w:type="spellStart"/>
      <w:r w:rsidRPr="001603A3">
        <w:rPr>
          <w:rFonts w:ascii="Times New Roman" w:hAnsi="Times New Roman"/>
          <w:sz w:val="24"/>
          <w:szCs w:val="24"/>
          <w:lang w:val="en-US"/>
        </w:rPr>
        <w:t>programme</w:t>
      </w:r>
      <w:proofErr w:type="spellEnd"/>
      <w:r w:rsidRPr="001603A3">
        <w:rPr>
          <w:rFonts w:ascii="Times New Roman" w:hAnsi="Times New Roman"/>
          <w:sz w:val="24"/>
          <w:szCs w:val="24"/>
          <w:lang w:val="en-US"/>
        </w:rPr>
        <w:t xml:space="preserve"> designed to build the learning and teaching capacity of nurse academics in a developing country. </w:t>
      </w:r>
      <w:r w:rsidRPr="001603A3">
        <w:rPr>
          <w:rFonts w:ascii="Times New Roman" w:hAnsi="Times New Roman"/>
          <w:i/>
          <w:sz w:val="24"/>
          <w:szCs w:val="24"/>
          <w:lang w:val="en-US"/>
        </w:rPr>
        <w:t>Nurse Education in Practice, 21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(1), 59-65. </w:t>
      </w:r>
      <w:proofErr w:type="spellStart"/>
      <w:r w:rsidRPr="001603A3">
        <w:rPr>
          <w:rFonts w:ascii="Times New Roman" w:hAnsi="Times New Roman"/>
          <w:sz w:val="24"/>
          <w:szCs w:val="24"/>
          <w:lang w:val="en-US"/>
        </w:rPr>
        <w:t>Recuperado</w:t>
      </w:r>
      <w:proofErr w:type="spellEnd"/>
      <w:r w:rsidRPr="001603A3">
        <w:rPr>
          <w:rFonts w:ascii="Times New Roman" w:hAnsi="Times New Roman"/>
          <w:sz w:val="24"/>
          <w:szCs w:val="24"/>
          <w:lang w:val="en-US"/>
        </w:rPr>
        <w:t xml:space="preserve"> de http://www.nurseeducationinpractice.com/article/S1471-5953(16)30104-4/pdf</w:t>
      </w:r>
    </w:p>
    <w:p w14:paraId="270E9CAF" w14:textId="77777777" w:rsidR="000A164C" w:rsidRPr="007B11B4" w:rsidRDefault="000A164C" w:rsidP="000A164C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1603A3">
        <w:rPr>
          <w:rFonts w:ascii="Times New Roman" w:hAnsi="Times New Roman"/>
          <w:sz w:val="24"/>
          <w:szCs w:val="24"/>
          <w:lang w:val="en-US"/>
        </w:rPr>
        <w:t xml:space="preserve">Lim, J., Kim, M., Chen, S. S., &amp; Ryder, C. E. (2008). An </w:t>
      </w:r>
      <w:r w:rsidR="00F84B2E" w:rsidRPr="001603A3">
        <w:rPr>
          <w:rFonts w:ascii="Times New Roman" w:hAnsi="Times New Roman"/>
          <w:sz w:val="24"/>
          <w:szCs w:val="24"/>
          <w:lang w:val="en-US"/>
        </w:rPr>
        <w:t>e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mpirical </w:t>
      </w:r>
      <w:r w:rsidR="00F84B2E" w:rsidRPr="001603A3">
        <w:rPr>
          <w:rFonts w:ascii="Times New Roman" w:hAnsi="Times New Roman"/>
          <w:sz w:val="24"/>
          <w:szCs w:val="24"/>
          <w:lang w:val="en-US"/>
        </w:rPr>
        <w:t>i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nvestigation of </w:t>
      </w:r>
      <w:r w:rsidR="00F84B2E" w:rsidRPr="001603A3">
        <w:rPr>
          <w:rFonts w:ascii="Times New Roman" w:hAnsi="Times New Roman"/>
          <w:sz w:val="24"/>
          <w:szCs w:val="24"/>
          <w:lang w:val="en-US"/>
        </w:rPr>
        <w:t>s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tudent </w:t>
      </w:r>
      <w:r w:rsidR="00F84B2E" w:rsidRPr="001603A3">
        <w:rPr>
          <w:rFonts w:ascii="Times New Roman" w:hAnsi="Times New Roman"/>
          <w:sz w:val="24"/>
          <w:szCs w:val="24"/>
          <w:lang w:val="en-US"/>
        </w:rPr>
        <w:t>a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chievement and </w:t>
      </w:r>
      <w:r w:rsidR="00F84B2E" w:rsidRPr="001603A3">
        <w:rPr>
          <w:rFonts w:ascii="Times New Roman" w:hAnsi="Times New Roman"/>
          <w:sz w:val="24"/>
          <w:szCs w:val="24"/>
          <w:lang w:val="en-US"/>
        </w:rPr>
        <w:t>s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atisfaction in </w:t>
      </w:r>
      <w:r w:rsidR="00F84B2E" w:rsidRPr="001603A3">
        <w:rPr>
          <w:rFonts w:ascii="Times New Roman" w:hAnsi="Times New Roman"/>
          <w:sz w:val="24"/>
          <w:szCs w:val="24"/>
          <w:lang w:val="en-US"/>
        </w:rPr>
        <w:t>d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ifferent </w:t>
      </w:r>
      <w:r w:rsidR="00F84B2E" w:rsidRPr="001603A3">
        <w:rPr>
          <w:rFonts w:ascii="Times New Roman" w:hAnsi="Times New Roman"/>
          <w:sz w:val="24"/>
          <w:szCs w:val="24"/>
          <w:lang w:val="en-US"/>
        </w:rPr>
        <w:t>l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earning </w:t>
      </w:r>
      <w:r w:rsidR="00F84B2E" w:rsidRPr="001603A3">
        <w:rPr>
          <w:rFonts w:ascii="Times New Roman" w:hAnsi="Times New Roman"/>
          <w:sz w:val="24"/>
          <w:szCs w:val="24"/>
          <w:lang w:val="en-US"/>
        </w:rPr>
        <w:t>e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nvironments. </w:t>
      </w:r>
      <w:r w:rsidRPr="007B11B4">
        <w:rPr>
          <w:rFonts w:ascii="Times New Roman" w:hAnsi="Times New Roman"/>
          <w:i/>
          <w:sz w:val="24"/>
          <w:szCs w:val="24"/>
          <w:lang w:val="en-US"/>
        </w:rPr>
        <w:t>Journal of Instructional Psychology, 35</w:t>
      </w:r>
      <w:r w:rsidR="000876A8" w:rsidRPr="007B11B4">
        <w:rPr>
          <w:rFonts w:ascii="Times New Roman" w:hAnsi="Times New Roman"/>
          <w:sz w:val="24"/>
          <w:szCs w:val="24"/>
          <w:lang w:val="en-US"/>
        </w:rPr>
        <w:t>(2), 113-119</w:t>
      </w:r>
    </w:p>
    <w:p w14:paraId="769D9D18" w14:textId="77777777" w:rsidR="002376A3" w:rsidRPr="0097033D" w:rsidRDefault="000A164C" w:rsidP="003D4E47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97033D">
        <w:rPr>
          <w:rFonts w:ascii="Times New Roman" w:hAnsi="Times New Roman"/>
          <w:sz w:val="24"/>
          <w:szCs w:val="24"/>
          <w:lang w:val="en-US"/>
        </w:rPr>
        <w:lastRenderedPageBreak/>
        <w:t xml:space="preserve">Liu, H-C, &amp; Yen, J-R (2014). Effects of distance learning on learning effectiveness. </w:t>
      </w:r>
      <w:r w:rsidRPr="0097033D">
        <w:rPr>
          <w:rFonts w:ascii="Times New Roman" w:hAnsi="Times New Roman"/>
          <w:i/>
          <w:sz w:val="24"/>
          <w:szCs w:val="24"/>
          <w:lang w:val="en-US"/>
        </w:rPr>
        <w:t>EURASIA Journal of Mathematics, Science and Technology Education, 10</w:t>
      </w:r>
      <w:r w:rsidRPr="0097033D">
        <w:rPr>
          <w:rFonts w:ascii="Times New Roman" w:hAnsi="Times New Roman"/>
          <w:sz w:val="24"/>
          <w:szCs w:val="24"/>
          <w:lang w:val="en-US"/>
        </w:rPr>
        <w:t>, 575-580. d</w:t>
      </w:r>
      <w:r w:rsidR="003D4E47" w:rsidRPr="0097033D">
        <w:rPr>
          <w:rFonts w:ascii="Times New Roman" w:hAnsi="Times New Roman"/>
          <w:sz w:val="24"/>
          <w:szCs w:val="24"/>
          <w:lang w:val="en-US"/>
        </w:rPr>
        <w:t>oi:10.12973/eurasia.2014.1218a.</w:t>
      </w:r>
    </w:p>
    <w:p w14:paraId="17A0926A" w14:textId="77777777" w:rsidR="00592197" w:rsidRPr="007B11B4" w:rsidRDefault="00592197" w:rsidP="000A164C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1603A3">
        <w:rPr>
          <w:rFonts w:ascii="Times New Roman" w:hAnsi="Times New Roman"/>
          <w:sz w:val="24"/>
          <w:szCs w:val="24"/>
          <w:lang w:val="en-US"/>
        </w:rPr>
        <w:t xml:space="preserve">Liu, X., Liu, S., Lee, S-h., &amp; </w:t>
      </w:r>
      <w:proofErr w:type="spellStart"/>
      <w:r w:rsidRPr="001603A3">
        <w:rPr>
          <w:rFonts w:ascii="Times New Roman" w:hAnsi="Times New Roman"/>
          <w:sz w:val="24"/>
          <w:szCs w:val="24"/>
          <w:lang w:val="en-US"/>
        </w:rPr>
        <w:t>Magjuka</w:t>
      </w:r>
      <w:proofErr w:type="spellEnd"/>
      <w:r w:rsidRPr="001603A3">
        <w:rPr>
          <w:rFonts w:ascii="Times New Roman" w:hAnsi="Times New Roman"/>
          <w:sz w:val="24"/>
          <w:szCs w:val="24"/>
          <w:lang w:val="en-US"/>
        </w:rPr>
        <w:t xml:space="preserve">, R. J. (2010). Cultural differences in online learning: International student perceptions. </w:t>
      </w:r>
      <w:r w:rsidRPr="007B11B4">
        <w:rPr>
          <w:rFonts w:ascii="Times New Roman" w:hAnsi="Times New Roman"/>
          <w:i/>
          <w:sz w:val="24"/>
          <w:szCs w:val="24"/>
          <w:lang w:val="en-US"/>
        </w:rPr>
        <w:t>Educational Technology &amp; Society, 13</w:t>
      </w:r>
      <w:r w:rsidRPr="007B11B4">
        <w:rPr>
          <w:rFonts w:ascii="Times New Roman" w:hAnsi="Times New Roman"/>
          <w:sz w:val="24"/>
          <w:szCs w:val="24"/>
          <w:lang w:val="en-US"/>
        </w:rPr>
        <w:t xml:space="preserve">, 177–188. </w:t>
      </w:r>
      <w:proofErr w:type="spellStart"/>
      <w:r w:rsidRPr="007B11B4">
        <w:rPr>
          <w:rFonts w:ascii="Times New Roman" w:hAnsi="Times New Roman"/>
          <w:sz w:val="24"/>
          <w:szCs w:val="24"/>
          <w:lang w:val="en-US"/>
        </w:rPr>
        <w:t>Recuperado</w:t>
      </w:r>
      <w:proofErr w:type="spellEnd"/>
      <w:r w:rsidRPr="007B11B4">
        <w:rPr>
          <w:rFonts w:ascii="Times New Roman" w:hAnsi="Times New Roman"/>
          <w:sz w:val="24"/>
          <w:szCs w:val="24"/>
          <w:lang w:val="en-US"/>
        </w:rPr>
        <w:t xml:space="preserve"> de http://www.ifets.info/journals/13_3/16.pdf</w:t>
      </w:r>
    </w:p>
    <w:p w14:paraId="061DA72E" w14:textId="77777777" w:rsidR="000A164C" w:rsidRPr="001603A3" w:rsidRDefault="000A164C" w:rsidP="000A164C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97033D">
        <w:rPr>
          <w:rFonts w:ascii="Times New Roman" w:hAnsi="Times New Roman"/>
          <w:sz w:val="24"/>
          <w:szCs w:val="24"/>
          <w:lang w:val="en-US"/>
        </w:rPr>
        <w:t xml:space="preserve">McAlpine, H., Lockerbie, L., Ramsay, D., &amp; Beaman, S. (2002). Evaluating a Web-based graduate level nursing ethics course: thumbs up or thumbs down? </w:t>
      </w:r>
      <w:r w:rsidRPr="001603A3">
        <w:rPr>
          <w:rFonts w:ascii="Times New Roman" w:hAnsi="Times New Roman"/>
          <w:sz w:val="24"/>
          <w:szCs w:val="24"/>
          <w:lang w:val="en-US"/>
        </w:rPr>
        <w:t>[</w:t>
      </w:r>
      <w:proofErr w:type="spellStart"/>
      <w:r w:rsidRPr="001603A3">
        <w:rPr>
          <w:rFonts w:ascii="Times New Roman" w:hAnsi="Times New Roman"/>
          <w:sz w:val="24"/>
          <w:szCs w:val="24"/>
          <w:lang w:val="en-US"/>
        </w:rPr>
        <w:t>Reseña</w:t>
      </w:r>
      <w:proofErr w:type="spellEnd"/>
      <w:r w:rsidRPr="001603A3">
        <w:rPr>
          <w:rFonts w:ascii="Times New Roman" w:hAnsi="Times New Roman"/>
          <w:sz w:val="24"/>
          <w:szCs w:val="24"/>
          <w:lang w:val="en-US"/>
        </w:rPr>
        <w:t xml:space="preserve">]. </w:t>
      </w:r>
      <w:r w:rsidRPr="001603A3">
        <w:rPr>
          <w:rFonts w:ascii="Times New Roman" w:hAnsi="Times New Roman"/>
          <w:i/>
          <w:sz w:val="24"/>
          <w:szCs w:val="24"/>
          <w:lang w:val="en-US"/>
        </w:rPr>
        <w:t>Journal of Continuing Education in Nursing, 33</w:t>
      </w:r>
      <w:r w:rsidR="000876A8" w:rsidRPr="001603A3">
        <w:rPr>
          <w:rFonts w:ascii="Times New Roman" w:hAnsi="Times New Roman"/>
          <w:sz w:val="24"/>
          <w:szCs w:val="24"/>
          <w:lang w:val="en-US"/>
        </w:rPr>
        <w:t>, 12-18.</w:t>
      </w:r>
    </w:p>
    <w:p w14:paraId="3AA34BCE" w14:textId="77777777" w:rsidR="000A164C" w:rsidRPr="001603A3" w:rsidRDefault="000A164C" w:rsidP="000A164C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1603A3">
        <w:rPr>
          <w:rFonts w:ascii="Times New Roman" w:hAnsi="Times New Roman"/>
          <w:sz w:val="24"/>
          <w:szCs w:val="24"/>
          <w:lang w:val="en-US"/>
        </w:rPr>
        <w:t>McFarland, D., &amp; Hamilton, D. (2006). Factors affecting student performance and satisfaction: Online versus traditional course delivery [</w:t>
      </w:r>
      <w:proofErr w:type="spellStart"/>
      <w:r w:rsidRPr="001603A3">
        <w:rPr>
          <w:rFonts w:ascii="Times New Roman" w:hAnsi="Times New Roman"/>
          <w:sz w:val="24"/>
          <w:szCs w:val="24"/>
          <w:lang w:val="en-US"/>
        </w:rPr>
        <w:t>Reseña</w:t>
      </w:r>
      <w:proofErr w:type="spellEnd"/>
      <w:r w:rsidRPr="001603A3">
        <w:rPr>
          <w:rFonts w:ascii="Times New Roman" w:hAnsi="Times New Roman"/>
          <w:sz w:val="24"/>
          <w:szCs w:val="24"/>
          <w:lang w:val="en-US"/>
        </w:rPr>
        <w:t>]</w:t>
      </w:r>
      <w:r w:rsidRPr="001603A3">
        <w:rPr>
          <w:rFonts w:ascii="Times New Roman" w:hAnsi="Times New Roman"/>
          <w:i/>
          <w:sz w:val="24"/>
          <w:szCs w:val="24"/>
          <w:lang w:val="en-US"/>
        </w:rPr>
        <w:t>. Journal of Computer Information Systems, 46</w:t>
      </w:r>
      <w:r w:rsidR="000876A8" w:rsidRPr="001603A3">
        <w:rPr>
          <w:rFonts w:ascii="Times New Roman" w:hAnsi="Times New Roman"/>
          <w:sz w:val="24"/>
          <w:szCs w:val="24"/>
          <w:lang w:val="en-US"/>
        </w:rPr>
        <w:t>, 25–32</w:t>
      </w:r>
    </w:p>
    <w:p w14:paraId="259FEB3D" w14:textId="77777777" w:rsidR="00D263F5" w:rsidRPr="001603A3" w:rsidRDefault="00D263F5" w:rsidP="00D263F5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1603A3">
        <w:rPr>
          <w:rFonts w:ascii="Times New Roman" w:hAnsi="Times New Roman"/>
          <w:sz w:val="24"/>
          <w:szCs w:val="24"/>
          <w:lang w:val="en-US"/>
        </w:rPr>
        <w:t xml:space="preserve">McLoughlin, C. &amp; Oliver, R. (1999). Instructional design for cultural difference: A case study of the indigenous online learning in a tertiary context. </w:t>
      </w:r>
      <w:r w:rsidRPr="001603A3">
        <w:rPr>
          <w:rFonts w:ascii="Times New Roman" w:hAnsi="Times New Roman"/>
          <w:i/>
          <w:sz w:val="24"/>
          <w:szCs w:val="24"/>
          <w:lang w:val="en-US"/>
        </w:rPr>
        <w:t>ASCILITE 99 16</w:t>
      </w:r>
      <w:r w:rsidRPr="001603A3">
        <w:rPr>
          <w:rFonts w:ascii="Times New Roman" w:hAnsi="Times New Roman"/>
          <w:i/>
          <w:sz w:val="24"/>
          <w:szCs w:val="24"/>
          <w:vertAlign w:val="superscript"/>
          <w:lang w:val="en-US"/>
        </w:rPr>
        <w:t>th</w:t>
      </w:r>
      <w:r w:rsidRPr="001603A3">
        <w:rPr>
          <w:rFonts w:ascii="Times New Roman" w:hAnsi="Times New Roman"/>
          <w:i/>
          <w:sz w:val="24"/>
          <w:szCs w:val="24"/>
          <w:lang w:val="en-US"/>
        </w:rPr>
        <w:t xml:space="preserve"> Annual Conference Proceedings (5-8 December 1999): Responding to Diversity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1603A3">
        <w:rPr>
          <w:rFonts w:ascii="Times New Roman" w:hAnsi="Times New Roman"/>
          <w:sz w:val="24"/>
          <w:szCs w:val="24"/>
          <w:lang w:val="en-US"/>
        </w:rPr>
        <w:t>Recuperado</w:t>
      </w:r>
      <w:proofErr w:type="spellEnd"/>
      <w:r w:rsidRPr="001603A3">
        <w:rPr>
          <w:rFonts w:ascii="Times New Roman" w:hAnsi="Times New Roman"/>
          <w:sz w:val="24"/>
          <w:szCs w:val="24"/>
          <w:lang w:val="en-US"/>
        </w:rPr>
        <w:t xml:space="preserve"> de http://www.ascilite.org/conferences/brisbane99/papers/mcloughlinoliver.pdf</w:t>
      </w:r>
    </w:p>
    <w:p w14:paraId="03104EFE" w14:textId="77777777" w:rsidR="0066404A" w:rsidRPr="001603A3" w:rsidRDefault="00D263F5" w:rsidP="00D263F5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1603A3">
        <w:rPr>
          <w:rFonts w:ascii="Times New Roman" w:hAnsi="Times New Roman"/>
          <w:sz w:val="24"/>
          <w:szCs w:val="24"/>
          <w:lang w:val="en-US"/>
        </w:rPr>
        <w:t>Australasian Society for Computers in Learning in Tertiary Education (ASCILITE)</w:t>
      </w:r>
      <w:r w:rsidR="000876A8" w:rsidRPr="001603A3">
        <w:rPr>
          <w:rFonts w:ascii="Times New Roman" w:hAnsi="Times New Roman"/>
          <w:sz w:val="24"/>
          <w:szCs w:val="24"/>
          <w:lang w:val="en-US"/>
        </w:rPr>
        <w:t>,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6404A" w:rsidRPr="001603A3">
        <w:rPr>
          <w:rFonts w:ascii="Times New Roman" w:hAnsi="Times New Roman"/>
          <w:sz w:val="24"/>
          <w:szCs w:val="24"/>
          <w:lang w:val="en-US"/>
        </w:rPr>
        <w:t xml:space="preserve">Nouri, J., </w:t>
      </w:r>
      <w:proofErr w:type="spellStart"/>
      <w:r w:rsidR="0066404A" w:rsidRPr="001603A3">
        <w:rPr>
          <w:rFonts w:ascii="Times New Roman" w:hAnsi="Times New Roman"/>
          <w:sz w:val="24"/>
          <w:szCs w:val="24"/>
          <w:lang w:val="en-US"/>
        </w:rPr>
        <w:t>Spikol</w:t>
      </w:r>
      <w:proofErr w:type="spellEnd"/>
      <w:r w:rsidR="0066404A" w:rsidRPr="001603A3">
        <w:rPr>
          <w:rFonts w:ascii="Times New Roman" w:hAnsi="Times New Roman"/>
          <w:sz w:val="24"/>
          <w:szCs w:val="24"/>
          <w:lang w:val="en-US"/>
        </w:rPr>
        <w:t xml:space="preserve">, D., &amp; </w:t>
      </w:r>
      <w:proofErr w:type="spellStart"/>
      <w:r w:rsidR="0066404A" w:rsidRPr="001603A3">
        <w:rPr>
          <w:rFonts w:ascii="Times New Roman" w:hAnsi="Times New Roman"/>
          <w:sz w:val="24"/>
          <w:szCs w:val="24"/>
          <w:lang w:val="en-US"/>
        </w:rPr>
        <w:t>Cerratto</w:t>
      </w:r>
      <w:proofErr w:type="spellEnd"/>
      <w:r w:rsidR="0066404A" w:rsidRPr="001603A3">
        <w:rPr>
          <w:rFonts w:ascii="Times New Roman" w:hAnsi="Times New Roman"/>
          <w:sz w:val="24"/>
          <w:szCs w:val="24"/>
          <w:lang w:val="en-US"/>
        </w:rPr>
        <w:t xml:space="preserve">-Pargman, T. (2016). A </w:t>
      </w:r>
      <w:r w:rsidR="000027DC" w:rsidRPr="001603A3">
        <w:rPr>
          <w:rFonts w:ascii="Times New Roman" w:hAnsi="Times New Roman"/>
          <w:sz w:val="24"/>
          <w:szCs w:val="24"/>
          <w:lang w:val="en-US"/>
        </w:rPr>
        <w:t>l</w:t>
      </w:r>
      <w:r w:rsidR="0066404A" w:rsidRPr="001603A3">
        <w:rPr>
          <w:rFonts w:ascii="Times New Roman" w:hAnsi="Times New Roman"/>
          <w:sz w:val="24"/>
          <w:szCs w:val="24"/>
          <w:lang w:val="en-US"/>
        </w:rPr>
        <w:t xml:space="preserve">earning </w:t>
      </w:r>
      <w:r w:rsidR="000027DC" w:rsidRPr="001603A3">
        <w:rPr>
          <w:rFonts w:ascii="Times New Roman" w:hAnsi="Times New Roman"/>
          <w:sz w:val="24"/>
          <w:szCs w:val="24"/>
          <w:lang w:val="en-US"/>
        </w:rPr>
        <w:t>a</w:t>
      </w:r>
      <w:r w:rsidR="0066404A" w:rsidRPr="001603A3">
        <w:rPr>
          <w:rFonts w:ascii="Times New Roman" w:hAnsi="Times New Roman"/>
          <w:sz w:val="24"/>
          <w:szCs w:val="24"/>
          <w:lang w:val="en-US"/>
        </w:rPr>
        <w:t xml:space="preserve">ctivity </w:t>
      </w:r>
      <w:r w:rsidR="000027DC" w:rsidRPr="001603A3">
        <w:rPr>
          <w:rFonts w:ascii="Times New Roman" w:hAnsi="Times New Roman"/>
          <w:sz w:val="24"/>
          <w:szCs w:val="24"/>
          <w:lang w:val="en-US"/>
        </w:rPr>
        <w:t>d</w:t>
      </w:r>
      <w:r w:rsidR="0066404A" w:rsidRPr="001603A3">
        <w:rPr>
          <w:rFonts w:ascii="Times New Roman" w:hAnsi="Times New Roman"/>
          <w:sz w:val="24"/>
          <w:szCs w:val="24"/>
          <w:lang w:val="en-US"/>
        </w:rPr>
        <w:t xml:space="preserve">esign </w:t>
      </w:r>
      <w:r w:rsidR="000027DC" w:rsidRPr="001603A3">
        <w:rPr>
          <w:rFonts w:ascii="Times New Roman" w:hAnsi="Times New Roman"/>
          <w:sz w:val="24"/>
          <w:szCs w:val="24"/>
          <w:lang w:val="en-US"/>
        </w:rPr>
        <w:t>f</w:t>
      </w:r>
      <w:r w:rsidR="0066404A" w:rsidRPr="001603A3">
        <w:rPr>
          <w:rFonts w:ascii="Times New Roman" w:hAnsi="Times New Roman"/>
          <w:sz w:val="24"/>
          <w:szCs w:val="24"/>
          <w:lang w:val="en-US"/>
        </w:rPr>
        <w:t xml:space="preserve">ramework for </w:t>
      </w:r>
      <w:r w:rsidR="000027DC" w:rsidRPr="001603A3">
        <w:rPr>
          <w:rFonts w:ascii="Times New Roman" w:hAnsi="Times New Roman"/>
          <w:sz w:val="24"/>
          <w:szCs w:val="24"/>
          <w:lang w:val="en-US"/>
        </w:rPr>
        <w:t>s</w:t>
      </w:r>
      <w:r w:rsidR="0066404A" w:rsidRPr="001603A3">
        <w:rPr>
          <w:rFonts w:ascii="Times New Roman" w:hAnsi="Times New Roman"/>
          <w:sz w:val="24"/>
          <w:szCs w:val="24"/>
          <w:lang w:val="en-US"/>
        </w:rPr>
        <w:t xml:space="preserve">upporting </w:t>
      </w:r>
      <w:r w:rsidR="000027DC" w:rsidRPr="001603A3">
        <w:rPr>
          <w:rFonts w:ascii="Times New Roman" w:hAnsi="Times New Roman"/>
          <w:sz w:val="24"/>
          <w:szCs w:val="24"/>
          <w:lang w:val="en-US"/>
        </w:rPr>
        <w:t>m</w:t>
      </w:r>
      <w:r w:rsidR="0066404A" w:rsidRPr="001603A3">
        <w:rPr>
          <w:rFonts w:ascii="Times New Roman" w:hAnsi="Times New Roman"/>
          <w:sz w:val="24"/>
          <w:szCs w:val="24"/>
          <w:lang w:val="en-US"/>
        </w:rPr>
        <w:t xml:space="preserve">obile </w:t>
      </w:r>
      <w:r w:rsidR="000027DC" w:rsidRPr="001603A3">
        <w:rPr>
          <w:rFonts w:ascii="Times New Roman" w:hAnsi="Times New Roman"/>
          <w:sz w:val="24"/>
          <w:szCs w:val="24"/>
          <w:lang w:val="en-US"/>
        </w:rPr>
        <w:t>l</w:t>
      </w:r>
      <w:r w:rsidR="0066404A" w:rsidRPr="001603A3">
        <w:rPr>
          <w:rFonts w:ascii="Times New Roman" w:hAnsi="Times New Roman"/>
          <w:sz w:val="24"/>
          <w:szCs w:val="24"/>
          <w:lang w:val="en-US"/>
        </w:rPr>
        <w:t xml:space="preserve">earning. </w:t>
      </w:r>
      <w:r w:rsidR="0066404A" w:rsidRPr="001603A3">
        <w:rPr>
          <w:rFonts w:ascii="Times New Roman" w:hAnsi="Times New Roman"/>
          <w:i/>
          <w:sz w:val="24"/>
          <w:szCs w:val="24"/>
          <w:lang w:val="en-US"/>
        </w:rPr>
        <w:t>Designs for Learning, 8</w:t>
      </w:r>
      <w:r w:rsidR="0066404A" w:rsidRPr="001603A3">
        <w:rPr>
          <w:rFonts w:ascii="Times New Roman" w:hAnsi="Times New Roman"/>
          <w:sz w:val="24"/>
          <w:szCs w:val="24"/>
          <w:lang w:val="en-US"/>
        </w:rPr>
        <w:t xml:space="preserve">(1), 1–12. </w:t>
      </w:r>
      <w:proofErr w:type="spellStart"/>
      <w:proofErr w:type="gramStart"/>
      <w:r w:rsidR="0066404A" w:rsidRPr="001603A3">
        <w:rPr>
          <w:rFonts w:ascii="Times New Roman" w:hAnsi="Times New Roman"/>
          <w:sz w:val="24"/>
          <w:szCs w:val="24"/>
          <w:lang w:val="en-US"/>
        </w:rPr>
        <w:t>doi:http</w:t>
      </w:r>
      <w:proofErr w:type="spellEnd"/>
      <w:r w:rsidR="0066404A" w:rsidRPr="001603A3">
        <w:rPr>
          <w:rFonts w:ascii="Times New Roman" w:hAnsi="Times New Roman"/>
          <w:sz w:val="24"/>
          <w:szCs w:val="24"/>
          <w:lang w:val="en-US"/>
        </w:rPr>
        <w:t>://doi.or</w:t>
      </w:r>
      <w:r w:rsidR="00B37CFE" w:rsidRPr="001603A3">
        <w:rPr>
          <w:rFonts w:ascii="Times New Roman" w:hAnsi="Times New Roman"/>
          <w:sz w:val="24"/>
          <w:szCs w:val="24"/>
          <w:lang w:val="en-US"/>
        </w:rPr>
        <w:t>g/10.16993/dfl.67</w:t>
      </w:r>
      <w:proofErr w:type="gramEnd"/>
      <w:r w:rsidR="00B37CFE" w:rsidRPr="001603A3">
        <w:rPr>
          <w:rFonts w:ascii="Times New Roman" w:hAnsi="Times New Roman"/>
          <w:sz w:val="24"/>
          <w:szCs w:val="24"/>
          <w:lang w:val="en-US"/>
        </w:rPr>
        <w:t>.</w:t>
      </w:r>
    </w:p>
    <w:p w14:paraId="23B312DC" w14:textId="77777777" w:rsidR="00E54C1C" w:rsidRPr="00AB398F" w:rsidRDefault="00EC38F7" w:rsidP="000A164C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092016C">
        <w:rPr>
          <w:rFonts w:ascii="Times New Roman" w:hAnsi="Times New Roman"/>
          <w:sz w:val="24"/>
          <w:szCs w:val="24"/>
          <w:lang w:val="pt-BR"/>
        </w:rPr>
        <w:t xml:space="preserve">Ortega Ferreira, S. C., &amp; Moreno Salamanca, M. C. (2014). </w:t>
      </w:r>
      <w:r w:rsidRPr="00AB398F">
        <w:rPr>
          <w:rFonts w:ascii="Times New Roman" w:hAnsi="Times New Roman"/>
          <w:sz w:val="24"/>
          <w:szCs w:val="24"/>
        </w:rPr>
        <w:t xml:space="preserve">Efectos de la flexibilidad didáctica sobre la calidad del aprendizaje en entornos virtuales. </w:t>
      </w:r>
      <w:r w:rsidRPr="00AB398F">
        <w:rPr>
          <w:rFonts w:ascii="Times New Roman" w:hAnsi="Times New Roman"/>
          <w:i/>
          <w:sz w:val="24"/>
          <w:szCs w:val="24"/>
        </w:rPr>
        <w:t>Revista Virtual Universidad Católica del Norte, 42</w:t>
      </w:r>
      <w:r w:rsidR="000876A8" w:rsidRPr="00AB398F">
        <w:rPr>
          <w:rFonts w:ascii="Times New Roman" w:hAnsi="Times New Roman"/>
          <w:sz w:val="24"/>
          <w:szCs w:val="24"/>
        </w:rPr>
        <w:t>, 38-47</w:t>
      </w:r>
    </w:p>
    <w:p w14:paraId="27E73853" w14:textId="77777777" w:rsidR="000A164C" w:rsidRPr="001603A3" w:rsidRDefault="000A164C" w:rsidP="000A164C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92016C">
        <w:rPr>
          <w:rFonts w:ascii="Times New Roman" w:hAnsi="Times New Roman"/>
          <w:sz w:val="24"/>
          <w:szCs w:val="24"/>
          <w:lang w:val="en-US"/>
        </w:rPr>
        <w:lastRenderedPageBreak/>
        <w:t xml:space="preserve">Oyeleke, O., Olugbenga, F. A., Oluwayemi, O. E., &amp; Sunday, A. J. (2015). 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Changing </w:t>
      </w:r>
      <w:proofErr w:type="gramStart"/>
      <w:r w:rsidRPr="001603A3">
        <w:rPr>
          <w:rFonts w:ascii="Times New Roman" w:hAnsi="Times New Roman"/>
          <w:sz w:val="24"/>
          <w:szCs w:val="24"/>
          <w:lang w:val="en-US"/>
        </w:rPr>
        <w:t>the landscape</w:t>
      </w:r>
      <w:proofErr w:type="gramEnd"/>
      <w:r w:rsidRPr="001603A3">
        <w:rPr>
          <w:rFonts w:ascii="Times New Roman" w:hAnsi="Times New Roman"/>
          <w:sz w:val="24"/>
          <w:szCs w:val="24"/>
          <w:lang w:val="en-US"/>
        </w:rPr>
        <w:t xml:space="preserve"> learning: Critical factors in open and distance learning. </w:t>
      </w:r>
      <w:r w:rsidRPr="001603A3">
        <w:rPr>
          <w:rFonts w:ascii="Times New Roman" w:hAnsi="Times New Roman"/>
          <w:i/>
          <w:sz w:val="24"/>
          <w:szCs w:val="24"/>
          <w:lang w:val="en-US"/>
        </w:rPr>
        <w:t>Journal of Education and Practice, 6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, 53-61. </w:t>
      </w:r>
      <w:proofErr w:type="spellStart"/>
      <w:r w:rsidRPr="001603A3">
        <w:rPr>
          <w:rFonts w:ascii="Times New Roman" w:hAnsi="Times New Roman"/>
          <w:sz w:val="24"/>
          <w:szCs w:val="24"/>
          <w:lang w:val="en-US"/>
        </w:rPr>
        <w:t>Recuperado</w:t>
      </w:r>
      <w:proofErr w:type="spellEnd"/>
      <w:r w:rsidRPr="001603A3">
        <w:rPr>
          <w:rFonts w:ascii="Times New Roman" w:hAnsi="Times New Roman"/>
          <w:sz w:val="24"/>
          <w:szCs w:val="24"/>
          <w:lang w:val="en-US"/>
        </w:rPr>
        <w:t xml:space="preserve"> de http://files.eric.ed.gov/fulltext/EJ1080480.pdf</w:t>
      </w:r>
    </w:p>
    <w:p w14:paraId="6C688DAF" w14:textId="77777777" w:rsidR="000027DC" w:rsidRPr="001603A3" w:rsidRDefault="000A164C" w:rsidP="007D18FA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603A3">
        <w:rPr>
          <w:rFonts w:ascii="Times New Roman" w:hAnsi="Times New Roman"/>
          <w:sz w:val="24"/>
          <w:szCs w:val="24"/>
          <w:lang w:val="en-US"/>
        </w:rPr>
        <w:t>Pangeni</w:t>
      </w:r>
      <w:proofErr w:type="spellEnd"/>
      <w:r w:rsidRPr="001603A3">
        <w:rPr>
          <w:rFonts w:ascii="Times New Roman" w:hAnsi="Times New Roman"/>
          <w:sz w:val="24"/>
          <w:szCs w:val="24"/>
          <w:lang w:val="en-US"/>
        </w:rPr>
        <w:t xml:space="preserve">, S. K. (2016). Open and distance learning: Cultural practices in Nepal. </w:t>
      </w:r>
      <w:r w:rsidRPr="001603A3">
        <w:rPr>
          <w:rFonts w:ascii="Times New Roman" w:hAnsi="Times New Roman"/>
          <w:i/>
          <w:sz w:val="24"/>
          <w:szCs w:val="24"/>
          <w:lang w:val="en-US"/>
        </w:rPr>
        <w:t>European Journal of Open, Distance and e-Learning, 19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, 32-45. </w:t>
      </w:r>
      <w:proofErr w:type="spellStart"/>
      <w:r w:rsidRPr="001603A3">
        <w:rPr>
          <w:rFonts w:ascii="Times New Roman" w:hAnsi="Times New Roman"/>
          <w:sz w:val="24"/>
          <w:szCs w:val="24"/>
          <w:lang w:val="en-US"/>
        </w:rPr>
        <w:t>Recuperado</w:t>
      </w:r>
      <w:proofErr w:type="spellEnd"/>
      <w:r w:rsidRPr="001603A3">
        <w:rPr>
          <w:rFonts w:ascii="Times New Roman" w:hAnsi="Times New Roman"/>
          <w:sz w:val="24"/>
          <w:szCs w:val="24"/>
          <w:lang w:val="en-US"/>
        </w:rPr>
        <w:t xml:space="preserve"> de http://www.eurodl.org/mat</w:t>
      </w:r>
      <w:r w:rsidR="002B5EF5" w:rsidRPr="001603A3">
        <w:rPr>
          <w:rFonts w:ascii="Times New Roman" w:hAnsi="Times New Roman"/>
          <w:sz w:val="24"/>
          <w:szCs w:val="24"/>
          <w:lang w:val="en-US"/>
        </w:rPr>
        <w:t>erials/contrib/2016/Pangeni.pdf</w:t>
      </w:r>
    </w:p>
    <w:p w14:paraId="021061FF" w14:textId="77777777" w:rsidR="00AB398F" w:rsidRPr="001603A3" w:rsidRDefault="00AB398F" w:rsidP="000A164C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498C2B02" w14:textId="77777777" w:rsidR="00AB398F" w:rsidRPr="001603A3" w:rsidRDefault="00AB398F" w:rsidP="000A164C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</w:p>
    <w:p w14:paraId="215ACE7D" w14:textId="77777777" w:rsidR="000A164C" w:rsidRPr="001603A3" w:rsidRDefault="00B14609" w:rsidP="000A164C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7033D">
        <w:rPr>
          <w:rFonts w:ascii="Times New Roman" w:hAnsi="Times New Roman"/>
          <w:sz w:val="24"/>
          <w:szCs w:val="24"/>
          <w:lang w:val="en-US"/>
        </w:rPr>
        <w:t>Pribadi</w:t>
      </w:r>
      <w:proofErr w:type="spellEnd"/>
      <w:r w:rsidR="000A164C" w:rsidRPr="0097033D">
        <w:rPr>
          <w:rFonts w:ascii="Times New Roman" w:hAnsi="Times New Roman"/>
          <w:sz w:val="24"/>
          <w:szCs w:val="24"/>
          <w:lang w:val="en-US"/>
        </w:rPr>
        <w:t>, B. A.</w:t>
      </w:r>
      <w:proofErr w:type="gramStart"/>
      <w:r w:rsidR="000A164C" w:rsidRPr="0097033D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="000A164C" w:rsidRPr="0097033D">
        <w:rPr>
          <w:rFonts w:ascii="Times New Roman" w:hAnsi="Times New Roman"/>
          <w:sz w:val="24"/>
          <w:szCs w:val="24"/>
          <w:lang w:val="en-US"/>
        </w:rPr>
        <w:t>Doluweera</w:t>
      </w:r>
      <w:proofErr w:type="spellEnd"/>
      <w:proofErr w:type="gramEnd"/>
      <w:r w:rsidR="000A164C" w:rsidRPr="0097033D">
        <w:rPr>
          <w:rFonts w:ascii="Times New Roman" w:hAnsi="Times New Roman"/>
          <w:sz w:val="24"/>
          <w:szCs w:val="24"/>
          <w:lang w:val="en-US"/>
        </w:rPr>
        <w:t xml:space="preserve">, D. G. S., &amp; Minsheng, Y.(2016). </w:t>
      </w:r>
      <w:proofErr w:type="gramStart"/>
      <w:r w:rsidR="000A164C" w:rsidRPr="001603A3">
        <w:rPr>
          <w:rFonts w:ascii="Times New Roman" w:hAnsi="Times New Roman"/>
          <w:sz w:val="24"/>
          <w:szCs w:val="24"/>
          <w:lang w:val="en-US"/>
        </w:rPr>
        <w:t>Practices</w:t>
      </w:r>
      <w:proofErr w:type="gramEnd"/>
      <w:r w:rsidR="000A164C" w:rsidRPr="001603A3">
        <w:rPr>
          <w:rFonts w:ascii="Times New Roman" w:hAnsi="Times New Roman"/>
          <w:sz w:val="24"/>
          <w:szCs w:val="24"/>
          <w:lang w:val="en-US"/>
        </w:rPr>
        <w:t xml:space="preserve"> in instructional system design for effective open and distance learning materials. </w:t>
      </w:r>
      <w:r w:rsidR="000A164C" w:rsidRPr="001603A3">
        <w:rPr>
          <w:rFonts w:ascii="Times New Roman" w:hAnsi="Times New Roman"/>
          <w:i/>
          <w:sz w:val="24"/>
          <w:szCs w:val="24"/>
          <w:lang w:val="en-US"/>
        </w:rPr>
        <w:t>ASEAN Jo</w:t>
      </w:r>
      <w:r w:rsidR="000B50A6" w:rsidRPr="001603A3">
        <w:rPr>
          <w:rFonts w:ascii="Times New Roman" w:hAnsi="Times New Roman"/>
          <w:i/>
          <w:sz w:val="24"/>
          <w:szCs w:val="24"/>
          <w:lang w:val="en-US"/>
        </w:rPr>
        <w:t>urnal of Open Distance Learning</w:t>
      </w:r>
      <w:r w:rsidR="000A164C" w:rsidRPr="001603A3">
        <w:rPr>
          <w:rFonts w:ascii="Times New Roman" w:hAnsi="Times New Roman"/>
          <w:i/>
          <w:sz w:val="24"/>
          <w:szCs w:val="24"/>
          <w:lang w:val="en-US"/>
        </w:rPr>
        <w:t>, 8</w:t>
      </w:r>
      <w:r w:rsidR="000A164C" w:rsidRPr="001603A3">
        <w:rPr>
          <w:rFonts w:ascii="Times New Roman" w:hAnsi="Times New Roman"/>
          <w:sz w:val="24"/>
          <w:szCs w:val="24"/>
          <w:lang w:val="en-US"/>
        </w:rPr>
        <w:t xml:space="preserve">(1), 1-7. </w:t>
      </w:r>
      <w:proofErr w:type="spellStart"/>
      <w:r w:rsidR="000A164C" w:rsidRPr="001603A3">
        <w:rPr>
          <w:rFonts w:ascii="Times New Roman" w:hAnsi="Times New Roman"/>
          <w:sz w:val="24"/>
          <w:szCs w:val="24"/>
          <w:lang w:val="en-US"/>
        </w:rPr>
        <w:t>Recuperado</w:t>
      </w:r>
      <w:proofErr w:type="spellEnd"/>
      <w:r w:rsidR="000A164C" w:rsidRPr="001603A3">
        <w:rPr>
          <w:rFonts w:ascii="Times New Roman" w:hAnsi="Times New Roman"/>
          <w:sz w:val="24"/>
          <w:szCs w:val="24"/>
          <w:lang w:val="en-US"/>
        </w:rPr>
        <w:t xml:space="preserve"> de http://ajodl.oum.edu.my/sites/default/files/document/</w:t>
      </w:r>
      <w:r w:rsidR="00FA00E0" w:rsidRPr="001603A3">
        <w:rPr>
          <w:rFonts w:ascii="Times New Roman" w:hAnsi="Times New Roman"/>
          <w:sz w:val="24"/>
          <w:szCs w:val="24"/>
          <w:lang w:val="en-US"/>
        </w:rPr>
        <w:t>vol8-no1/P1%20AJODL%20v8no1.pdf</w:t>
      </w:r>
    </w:p>
    <w:p w14:paraId="33B044F6" w14:textId="77777777" w:rsidR="000A164C" w:rsidRPr="001603A3" w:rsidRDefault="000A164C" w:rsidP="000A164C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1603A3">
        <w:rPr>
          <w:rFonts w:ascii="Times New Roman" w:hAnsi="Times New Roman"/>
          <w:sz w:val="24"/>
          <w:szCs w:val="24"/>
          <w:lang w:val="en-US"/>
        </w:rPr>
        <w:t xml:space="preserve">Reasons, S. G., Valadares, K., &amp; </w:t>
      </w:r>
      <w:proofErr w:type="spellStart"/>
      <w:r w:rsidRPr="001603A3">
        <w:rPr>
          <w:rFonts w:ascii="Times New Roman" w:hAnsi="Times New Roman"/>
          <w:sz w:val="24"/>
          <w:szCs w:val="24"/>
          <w:lang w:val="en-US"/>
        </w:rPr>
        <w:t>Slavkin</w:t>
      </w:r>
      <w:proofErr w:type="spellEnd"/>
      <w:r w:rsidRPr="001603A3">
        <w:rPr>
          <w:rFonts w:ascii="Times New Roman" w:hAnsi="Times New Roman"/>
          <w:sz w:val="24"/>
          <w:szCs w:val="24"/>
          <w:lang w:val="en-US"/>
        </w:rPr>
        <w:t xml:space="preserve">, M. (2005). Questioning the hybrid model: Student outcomes in different course formats. </w:t>
      </w:r>
      <w:r w:rsidRPr="001603A3">
        <w:rPr>
          <w:rFonts w:ascii="Times New Roman" w:hAnsi="Times New Roman"/>
          <w:i/>
          <w:sz w:val="24"/>
          <w:szCs w:val="24"/>
          <w:lang w:val="en-US"/>
        </w:rPr>
        <w:t>Journal of Asynchronous Networks, 9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, 83–94. </w:t>
      </w:r>
      <w:proofErr w:type="spellStart"/>
      <w:r w:rsidRPr="001603A3">
        <w:rPr>
          <w:rFonts w:ascii="Times New Roman" w:hAnsi="Times New Roman"/>
          <w:sz w:val="24"/>
          <w:szCs w:val="24"/>
          <w:lang w:val="en-US"/>
        </w:rPr>
        <w:t>Recuperado</w:t>
      </w:r>
      <w:proofErr w:type="spellEnd"/>
      <w:r w:rsidRPr="001603A3">
        <w:rPr>
          <w:rFonts w:ascii="Times New Roman" w:hAnsi="Times New Roman"/>
          <w:sz w:val="24"/>
          <w:szCs w:val="24"/>
          <w:lang w:val="en-US"/>
        </w:rPr>
        <w:t xml:space="preserve"> de http://webshare.northseattle.edu/elearning/blended_learning/v9n1_reasons%5B1%5D.pdf</w:t>
      </w:r>
    </w:p>
    <w:p w14:paraId="0C526A03" w14:textId="77777777" w:rsidR="000A164C" w:rsidRPr="001603A3" w:rsidRDefault="000A164C" w:rsidP="000A164C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r w:rsidRPr="001603A3">
        <w:rPr>
          <w:rFonts w:ascii="Times New Roman" w:hAnsi="Times New Roman"/>
          <w:sz w:val="24"/>
          <w:szCs w:val="24"/>
          <w:lang w:val="en-US"/>
        </w:rPr>
        <w:t xml:space="preserve">Tesone, D., &amp; Ricci, P. (2008). Student perceptions of web-based instruction: A comparative analysis. </w:t>
      </w:r>
      <w:r w:rsidRPr="001603A3">
        <w:rPr>
          <w:rFonts w:ascii="Times New Roman" w:hAnsi="Times New Roman"/>
          <w:i/>
          <w:sz w:val="24"/>
          <w:szCs w:val="24"/>
          <w:lang w:val="en-US"/>
        </w:rPr>
        <w:t>Journal of Online Learning and Teaching, 4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, 317–324. </w:t>
      </w:r>
      <w:proofErr w:type="spellStart"/>
      <w:r w:rsidRPr="001603A3">
        <w:rPr>
          <w:rFonts w:ascii="Times New Roman" w:hAnsi="Times New Roman"/>
          <w:sz w:val="24"/>
          <w:szCs w:val="24"/>
          <w:lang w:val="en-US"/>
        </w:rPr>
        <w:t>Recuperado</w:t>
      </w:r>
      <w:proofErr w:type="spellEnd"/>
      <w:r w:rsidRPr="001603A3">
        <w:rPr>
          <w:rFonts w:ascii="Times New Roman" w:hAnsi="Times New Roman"/>
          <w:sz w:val="24"/>
          <w:szCs w:val="24"/>
          <w:lang w:val="en-US"/>
        </w:rPr>
        <w:t xml:space="preserve"> de http://jolt.merlot.org/vol4no3/tesone_0908.pdf</w:t>
      </w:r>
    </w:p>
    <w:p w14:paraId="50B9A3FF" w14:textId="77777777" w:rsidR="000A164C" w:rsidRPr="00AB398F" w:rsidRDefault="000A164C" w:rsidP="000A164C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01603A3">
        <w:rPr>
          <w:rFonts w:ascii="Times New Roman" w:hAnsi="Times New Roman"/>
          <w:sz w:val="24"/>
          <w:szCs w:val="24"/>
          <w:lang w:val="en-US"/>
        </w:rPr>
        <w:t xml:space="preserve">Thapliyal, U. (2014). Perceived quality dimensions in distance education: Experts from </w:t>
      </w:r>
      <w:proofErr w:type="gramStart"/>
      <w:r w:rsidRPr="001603A3">
        <w:rPr>
          <w:rFonts w:ascii="Times New Roman" w:hAnsi="Times New Roman"/>
          <w:sz w:val="24"/>
          <w:szCs w:val="24"/>
          <w:lang w:val="en-US"/>
        </w:rPr>
        <w:t>students</w:t>
      </w:r>
      <w:proofErr w:type="gramEnd"/>
      <w:r w:rsidRPr="001603A3">
        <w:rPr>
          <w:rFonts w:ascii="Times New Roman" w:hAnsi="Times New Roman"/>
          <w:sz w:val="24"/>
          <w:szCs w:val="24"/>
          <w:lang w:val="en-US"/>
        </w:rPr>
        <w:t xml:space="preserve"> experiences. </w:t>
      </w:r>
      <w:proofErr w:type="spellStart"/>
      <w:r w:rsidRPr="00AB398F">
        <w:rPr>
          <w:rFonts w:ascii="Times New Roman" w:hAnsi="Times New Roman"/>
          <w:i/>
          <w:sz w:val="24"/>
          <w:szCs w:val="24"/>
        </w:rPr>
        <w:t>Turkish</w:t>
      </w:r>
      <w:proofErr w:type="spellEnd"/>
      <w:r w:rsidRPr="00AB398F">
        <w:rPr>
          <w:rFonts w:ascii="Times New Roman" w:hAnsi="Times New Roman"/>
          <w:i/>
          <w:sz w:val="24"/>
          <w:szCs w:val="24"/>
        </w:rPr>
        <w:t xml:space="preserve"> Online </w:t>
      </w:r>
      <w:proofErr w:type="spellStart"/>
      <w:r w:rsidRPr="00AB398F">
        <w:rPr>
          <w:rFonts w:ascii="Times New Roman" w:hAnsi="Times New Roman"/>
          <w:i/>
          <w:sz w:val="24"/>
          <w:szCs w:val="24"/>
        </w:rPr>
        <w:t>Journal</w:t>
      </w:r>
      <w:proofErr w:type="spellEnd"/>
      <w:r w:rsidRPr="00AB398F">
        <w:rPr>
          <w:rFonts w:ascii="Times New Roman" w:hAnsi="Times New Roman"/>
          <w:i/>
          <w:sz w:val="24"/>
          <w:szCs w:val="24"/>
        </w:rPr>
        <w:t xml:space="preserve"> of </w:t>
      </w:r>
      <w:proofErr w:type="spellStart"/>
      <w:r w:rsidRPr="00AB398F">
        <w:rPr>
          <w:rFonts w:ascii="Times New Roman" w:hAnsi="Times New Roman"/>
          <w:i/>
          <w:sz w:val="24"/>
          <w:szCs w:val="24"/>
        </w:rPr>
        <w:t>Distance</w:t>
      </w:r>
      <w:proofErr w:type="spellEnd"/>
      <w:r w:rsidRPr="00AB398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398F">
        <w:rPr>
          <w:rFonts w:ascii="Times New Roman" w:hAnsi="Times New Roman"/>
          <w:i/>
          <w:sz w:val="24"/>
          <w:szCs w:val="24"/>
        </w:rPr>
        <w:t>Education</w:t>
      </w:r>
      <w:proofErr w:type="spellEnd"/>
      <w:r w:rsidRPr="00AB398F">
        <w:rPr>
          <w:rFonts w:ascii="Times New Roman" w:hAnsi="Times New Roman"/>
          <w:i/>
          <w:sz w:val="24"/>
          <w:szCs w:val="24"/>
        </w:rPr>
        <w:t>, 15</w:t>
      </w:r>
      <w:r w:rsidRPr="00AB398F">
        <w:rPr>
          <w:rFonts w:ascii="Times New Roman" w:hAnsi="Times New Roman"/>
          <w:sz w:val="24"/>
          <w:szCs w:val="24"/>
        </w:rPr>
        <w:t>, 60-67. Recuperado de la base de datos de ERIC (EJ1043662): http://files.eri</w:t>
      </w:r>
      <w:r w:rsidR="006B19F1" w:rsidRPr="00AB398F">
        <w:rPr>
          <w:rFonts w:ascii="Times New Roman" w:hAnsi="Times New Roman"/>
          <w:sz w:val="24"/>
          <w:szCs w:val="24"/>
        </w:rPr>
        <w:t>c.ed.gov/fulltext/EJ1043662.pdf</w:t>
      </w:r>
    </w:p>
    <w:p w14:paraId="7CD53C3C" w14:textId="77777777" w:rsidR="00F20147" w:rsidRPr="001603A3" w:rsidRDefault="00F20147" w:rsidP="000A164C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603A3">
        <w:rPr>
          <w:rFonts w:ascii="Times New Roman" w:hAnsi="Times New Roman"/>
          <w:sz w:val="24"/>
          <w:szCs w:val="24"/>
          <w:lang w:val="en-US"/>
        </w:rPr>
        <w:lastRenderedPageBreak/>
        <w:t>Toetenel</w:t>
      </w:r>
      <w:proofErr w:type="spellEnd"/>
      <w:r w:rsidRPr="001603A3">
        <w:rPr>
          <w:rFonts w:ascii="Times New Roman" w:hAnsi="Times New Roman"/>
          <w:sz w:val="24"/>
          <w:szCs w:val="24"/>
          <w:lang w:val="en-US"/>
        </w:rPr>
        <w:t xml:space="preserve">, L., &amp; </w:t>
      </w:r>
      <w:proofErr w:type="spellStart"/>
      <w:r w:rsidRPr="001603A3">
        <w:rPr>
          <w:rFonts w:ascii="Times New Roman" w:hAnsi="Times New Roman"/>
          <w:sz w:val="24"/>
          <w:szCs w:val="24"/>
          <w:lang w:val="en-US"/>
        </w:rPr>
        <w:t>Rienties</w:t>
      </w:r>
      <w:proofErr w:type="spellEnd"/>
      <w:r w:rsidRPr="001603A3">
        <w:rPr>
          <w:rFonts w:ascii="Times New Roman" w:hAnsi="Times New Roman"/>
          <w:sz w:val="24"/>
          <w:szCs w:val="24"/>
          <w:lang w:val="en-US"/>
        </w:rPr>
        <w:t xml:space="preserve">, B. (2016). Learning Design – creative design to </w:t>
      </w:r>
      <w:proofErr w:type="spellStart"/>
      <w:r w:rsidR="00BF4152" w:rsidRPr="001603A3">
        <w:rPr>
          <w:rFonts w:ascii="Times New Roman" w:hAnsi="Times New Roman"/>
          <w:sz w:val="24"/>
          <w:szCs w:val="24"/>
          <w:lang w:val="en-US"/>
        </w:rPr>
        <w:t>visuali</w:t>
      </w:r>
      <w:r w:rsidR="00494181" w:rsidRPr="001603A3">
        <w:rPr>
          <w:rFonts w:ascii="Times New Roman" w:hAnsi="Times New Roman"/>
          <w:sz w:val="24"/>
          <w:szCs w:val="24"/>
          <w:lang w:val="en-US"/>
        </w:rPr>
        <w:t>s</w:t>
      </w:r>
      <w:r w:rsidR="00BF4152" w:rsidRPr="001603A3">
        <w:rPr>
          <w:rFonts w:ascii="Times New Roman" w:hAnsi="Times New Roman"/>
          <w:sz w:val="24"/>
          <w:szCs w:val="24"/>
          <w:lang w:val="en-US"/>
        </w:rPr>
        <w:t>e</w:t>
      </w:r>
      <w:proofErr w:type="spellEnd"/>
      <w:r w:rsidR="00BF4152" w:rsidRPr="001603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learning activities. </w:t>
      </w:r>
      <w:r w:rsidRPr="001603A3">
        <w:rPr>
          <w:rFonts w:ascii="Times New Roman" w:hAnsi="Times New Roman"/>
          <w:i/>
          <w:sz w:val="24"/>
          <w:szCs w:val="24"/>
          <w:lang w:val="en-US"/>
        </w:rPr>
        <w:t>Open Learning: Learning:</w:t>
      </w:r>
      <w:r w:rsidRPr="001603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03A3">
        <w:rPr>
          <w:rFonts w:ascii="Times New Roman" w:hAnsi="Times New Roman"/>
          <w:i/>
          <w:sz w:val="24"/>
          <w:szCs w:val="24"/>
          <w:lang w:val="en-US"/>
        </w:rPr>
        <w:t>The Journal of Open, Distance and e-Learning. 31</w:t>
      </w:r>
      <w:r w:rsidRPr="001603A3">
        <w:rPr>
          <w:rFonts w:ascii="Times New Roman" w:hAnsi="Times New Roman"/>
          <w:sz w:val="24"/>
          <w:szCs w:val="24"/>
          <w:lang w:val="en-US"/>
        </w:rPr>
        <w:t>, 233-244. doi:10.1080/02680513.</w:t>
      </w:r>
      <w:r w:rsidR="00D6259A" w:rsidRPr="001603A3">
        <w:rPr>
          <w:rFonts w:ascii="Times New Roman" w:hAnsi="Times New Roman"/>
          <w:sz w:val="24"/>
          <w:szCs w:val="24"/>
          <w:lang w:val="en-US"/>
        </w:rPr>
        <w:t>2016.1213626</w:t>
      </w:r>
    </w:p>
    <w:p w14:paraId="1B74B865" w14:textId="77777777" w:rsidR="00EE0E2E" w:rsidRPr="00AB398F" w:rsidRDefault="000A164C" w:rsidP="00A471AC">
      <w:pPr>
        <w:spacing w:after="0"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01603A3">
        <w:rPr>
          <w:rFonts w:ascii="Times New Roman" w:hAnsi="Times New Roman"/>
          <w:sz w:val="24"/>
          <w:szCs w:val="24"/>
          <w:lang w:val="en-US"/>
        </w:rPr>
        <w:t xml:space="preserve">Vernon, R., Pittman-Munke, P., Vakalahi, H., Adkins, L. F., &amp; Pierce, D. (2009). Distance education programs in social work: current and emerging trends. </w:t>
      </w:r>
      <w:proofErr w:type="spellStart"/>
      <w:r w:rsidRPr="00AB398F">
        <w:rPr>
          <w:rFonts w:ascii="Times New Roman" w:hAnsi="Times New Roman"/>
          <w:i/>
          <w:sz w:val="24"/>
          <w:szCs w:val="24"/>
        </w:rPr>
        <w:t>Journal</w:t>
      </w:r>
      <w:proofErr w:type="spellEnd"/>
      <w:r w:rsidRPr="00AB398F">
        <w:rPr>
          <w:rFonts w:ascii="Times New Roman" w:hAnsi="Times New Roman"/>
          <w:i/>
          <w:sz w:val="24"/>
          <w:szCs w:val="24"/>
        </w:rPr>
        <w:t xml:space="preserve"> of Social </w:t>
      </w:r>
      <w:proofErr w:type="spellStart"/>
      <w:r w:rsidRPr="00AB398F">
        <w:rPr>
          <w:rFonts w:ascii="Times New Roman" w:hAnsi="Times New Roman"/>
          <w:i/>
          <w:sz w:val="24"/>
          <w:szCs w:val="24"/>
        </w:rPr>
        <w:t>Work</w:t>
      </w:r>
      <w:proofErr w:type="spellEnd"/>
      <w:r w:rsidRPr="00AB398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398F">
        <w:rPr>
          <w:rFonts w:ascii="Times New Roman" w:hAnsi="Times New Roman"/>
          <w:i/>
          <w:sz w:val="24"/>
          <w:szCs w:val="24"/>
        </w:rPr>
        <w:t>Education</w:t>
      </w:r>
      <w:proofErr w:type="spellEnd"/>
      <w:r w:rsidRPr="00AB398F">
        <w:rPr>
          <w:rFonts w:ascii="Times New Roman" w:hAnsi="Times New Roman"/>
          <w:i/>
          <w:sz w:val="24"/>
          <w:szCs w:val="24"/>
        </w:rPr>
        <w:t>, 45</w:t>
      </w:r>
      <w:r w:rsidR="000876A8" w:rsidRPr="00AB398F">
        <w:rPr>
          <w:rFonts w:ascii="Times New Roman" w:hAnsi="Times New Roman"/>
          <w:sz w:val="24"/>
          <w:szCs w:val="24"/>
        </w:rPr>
        <w:t>, 263-276</w:t>
      </w:r>
    </w:p>
    <w:sectPr w:rsidR="00EE0E2E" w:rsidRPr="00AB398F" w:rsidSect="00BB167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97F8A" w14:textId="77777777" w:rsidR="00873C52" w:rsidRDefault="00873C52" w:rsidP="00960E5B">
      <w:pPr>
        <w:spacing w:after="0" w:line="240" w:lineRule="auto"/>
      </w:pPr>
      <w:r>
        <w:separator/>
      </w:r>
    </w:p>
  </w:endnote>
  <w:endnote w:type="continuationSeparator" w:id="0">
    <w:p w14:paraId="213CEB90" w14:textId="77777777" w:rsidR="00873C52" w:rsidRDefault="00873C52" w:rsidP="0096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2E972" w14:textId="77777777" w:rsidR="00873C52" w:rsidRDefault="00873C52" w:rsidP="00960E5B">
      <w:pPr>
        <w:spacing w:after="0" w:line="240" w:lineRule="auto"/>
      </w:pPr>
      <w:r>
        <w:separator/>
      </w:r>
    </w:p>
  </w:footnote>
  <w:footnote w:type="continuationSeparator" w:id="0">
    <w:p w14:paraId="3E4A193C" w14:textId="77777777" w:rsidR="00873C52" w:rsidRDefault="00873C52" w:rsidP="0096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57064" w14:textId="77777777" w:rsidR="00F87D77" w:rsidRPr="00F87D77" w:rsidRDefault="001603A3">
    <w:pPr>
      <w:pStyle w:val="Header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Titulillo</w:t>
    </w:r>
    <w:r w:rsidR="00F87D77" w:rsidRPr="00F87D77">
      <w:rPr>
        <w:rFonts w:ascii="Times New Roman" w:hAnsi="Times New Roman"/>
        <w:sz w:val="24"/>
        <w:szCs w:val="24"/>
      </w:rPr>
      <w:t xml:space="preserve">: </w:t>
    </w:r>
    <w:r w:rsidR="007B11B4">
      <w:rPr>
        <w:rFonts w:ascii="Times New Roman" w:hAnsi="Times New Roman"/>
        <w:sz w:val="24"/>
        <w:szCs w:val="24"/>
      </w:rPr>
      <w:t>COMPOSICIÓN CORPORAL</w:t>
    </w:r>
    <w:r w:rsidR="00F87D77" w:rsidRPr="00F87D77">
      <w:rPr>
        <w:rFonts w:ascii="Times New Roman" w:hAnsi="Times New Roman"/>
        <w:sz w:val="24"/>
        <w:szCs w:val="24"/>
      </w:rPr>
      <w:tab/>
    </w:r>
    <w:r w:rsidR="00F87D77" w:rsidRPr="00F87D77">
      <w:rPr>
        <w:rFonts w:ascii="Times New Roman" w:hAnsi="Times New Roman"/>
        <w:sz w:val="24"/>
        <w:szCs w:val="24"/>
      </w:rPr>
      <w:tab/>
    </w:r>
    <w:r w:rsidR="00F87D77" w:rsidRPr="00F87D77">
      <w:rPr>
        <w:rFonts w:ascii="Times New Roman" w:hAnsi="Times New Roman"/>
        <w:sz w:val="24"/>
        <w:szCs w:val="24"/>
      </w:rPr>
      <w:fldChar w:fldCharType="begin"/>
    </w:r>
    <w:r w:rsidR="00F87D77" w:rsidRPr="00F87D77">
      <w:rPr>
        <w:rFonts w:ascii="Times New Roman" w:hAnsi="Times New Roman"/>
        <w:sz w:val="24"/>
        <w:szCs w:val="24"/>
      </w:rPr>
      <w:instrText xml:space="preserve"> PAGE   \* MERGEFORMAT </w:instrText>
    </w:r>
    <w:r w:rsidR="00F87D77" w:rsidRPr="00F87D77">
      <w:rPr>
        <w:rFonts w:ascii="Times New Roman" w:hAnsi="Times New Roman"/>
        <w:sz w:val="24"/>
        <w:szCs w:val="24"/>
      </w:rPr>
      <w:fldChar w:fldCharType="separate"/>
    </w:r>
    <w:r w:rsidR="002D37DD">
      <w:rPr>
        <w:rFonts w:ascii="Times New Roman" w:hAnsi="Times New Roman"/>
        <w:noProof/>
        <w:sz w:val="24"/>
        <w:szCs w:val="24"/>
      </w:rPr>
      <w:t>1</w:t>
    </w:r>
    <w:r w:rsidR="00F87D77" w:rsidRPr="00F87D77">
      <w:rPr>
        <w:rFonts w:ascii="Times New Roman" w:hAnsi="Times New Roman"/>
        <w:noProof/>
        <w:sz w:val="24"/>
        <w:szCs w:val="24"/>
      </w:rPr>
      <w:fldChar w:fldCharType="end"/>
    </w:r>
  </w:p>
  <w:p w14:paraId="0A559FCC" w14:textId="77777777" w:rsidR="00C26F9D" w:rsidRPr="00F87D77" w:rsidRDefault="00C26F9D" w:rsidP="00B42916">
    <w:pPr>
      <w:pStyle w:val="Head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1FA1D" w14:textId="77777777" w:rsidR="00C26F9D" w:rsidRPr="00B42916" w:rsidRDefault="009821F8" w:rsidP="00B42916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COMPOSICIÓN CORPORAL</w:t>
    </w:r>
    <w:r w:rsidR="00C26F9D">
      <w:rPr>
        <w:rFonts w:ascii="Times New Roman" w:hAnsi="Times New Roman"/>
        <w:sz w:val="24"/>
        <w:szCs w:val="24"/>
      </w:rPr>
      <w:tab/>
    </w:r>
    <w:r w:rsidR="00C26F9D">
      <w:rPr>
        <w:rFonts w:ascii="Times New Roman" w:hAnsi="Times New Roman"/>
        <w:sz w:val="24"/>
        <w:szCs w:val="24"/>
      </w:rPr>
      <w:tab/>
    </w:r>
    <w:r w:rsidR="00C26F9D" w:rsidRPr="00B42916">
      <w:rPr>
        <w:rFonts w:ascii="Times New Roman" w:hAnsi="Times New Roman"/>
        <w:sz w:val="24"/>
        <w:szCs w:val="24"/>
      </w:rPr>
      <w:fldChar w:fldCharType="begin"/>
    </w:r>
    <w:r w:rsidR="00C26F9D" w:rsidRPr="00B42916">
      <w:rPr>
        <w:rFonts w:ascii="Times New Roman" w:hAnsi="Times New Roman"/>
        <w:sz w:val="24"/>
        <w:szCs w:val="24"/>
      </w:rPr>
      <w:instrText xml:space="preserve"> PAGE   \* MERGEFORMAT </w:instrText>
    </w:r>
    <w:r w:rsidR="00C26F9D" w:rsidRPr="00B42916">
      <w:rPr>
        <w:rFonts w:ascii="Times New Roman" w:hAnsi="Times New Roman"/>
        <w:sz w:val="24"/>
        <w:szCs w:val="24"/>
      </w:rPr>
      <w:fldChar w:fldCharType="separate"/>
    </w:r>
    <w:r w:rsidR="002D37DD">
      <w:rPr>
        <w:rFonts w:ascii="Times New Roman" w:hAnsi="Times New Roman"/>
        <w:noProof/>
        <w:sz w:val="24"/>
        <w:szCs w:val="24"/>
      </w:rPr>
      <w:t>2</w:t>
    </w:r>
    <w:r w:rsidR="00C26F9D" w:rsidRPr="00B42916">
      <w:rPr>
        <w:rFonts w:ascii="Times New Roman" w:hAnsi="Times New Roman"/>
        <w:noProof/>
        <w:sz w:val="24"/>
        <w:szCs w:val="24"/>
      </w:rPr>
      <w:fldChar w:fldCharType="end"/>
    </w:r>
  </w:p>
  <w:p w14:paraId="4A5501AD" w14:textId="77777777" w:rsidR="00C26F9D" w:rsidRPr="00B42916" w:rsidRDefault="00C26F9D" w:rsidP="00B42916">
    <w:pPr>
      <w:pStyle w:val="Head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1B"/>
    <w:rsid w:val="000027DC"/>
    <w:rsid w:val="00005BA9"/>
    <w:rsid w:val="00024004"/>
    <w:rsid w:val="00032435"/>
    <w:rsid w:val="000333AB"/>
    <w:rsid w:val="0003618B"/>
    <w:rsid w:val="000410D9"/>
    <w:rsid w:val="00045D44"/>
    <w:rsid w:val="00050510"/>
    <w:rsid w:val="000553CE"/>
    <w:rsid w:val="00062D4F"/>
    <w:rsid w:val="000637BA"/>
    <w:rsid w:val="00064791"/>
    <w:rsid w:val="00073298"/>
    <w:rsid w:val="000816F2"/>
    <w:rsid w:val="00083477"/>
    <w:rsid w:val="000861A4"/>
    <w:rsid w:val="000876A8"/>
    <w:rsid w:val="00096018"/>
    <w:rsid w:val="000A00EA"/>
    <w:rsid w:val="000A164C"/>
    <w:rsid w:val="000A27FC"/>
    <w:rsid w:val="000A2AAB"/>
    <w:rsid w:val="000A6096"/>
    <w:rsid w:val="000A6948"/>
    <w:rsid w:val="000A71C9"/>
    <w:rsid w:val="000B1C41"/>
    <w:rsid w:val="000B50A6"/>
    <w:rsid w:val="000B7211"/>
    <w:rsid w:val="000B76AA"/>
    <w:rsid w:val="000C08D2"/>
    <w:rsid w:val="000C11FC"/>
    <w:rsid w:val="000C1770"/>
    <w:rsid w:val="000C1A4C"/>
    <w:rsid w:val="000C3006"/>
    <w:rsid w:val="000C7AC8"/>
    <w:rsid w:val="000C7FAC"/>
    <w:rsid w:val="000D3EDE"/>
    <w:rsid w:val="000D4F3C"/>
    <w:rsid w:val="000F1356"/>
    <w:rsid w:val="00102CDD"/>
    <w:rsid w:val="001128C7"/>
    <w:rsid w:val="001201DA"/>
    <w:rsid w:val="00121A25"/>
    <w:rsid w:val="00124937"/>
    <w:rsid w:val="001338CE"/>
    <w:rsid w:val="001407A1"/>
    <w:rsid w:val="00141757"/>
    <w:rsid w:val="00144B89"/>
    <w:rsid w:val="001475AD"/>
    <w:rsid w:val="001603A3"/>
    <w:rsid w:val="00163849"/>
    <w:rsid w:val="00167D72"/>
    <w:rsid w:val="00172BEC"/>
    <w:rsid w:val="00184762"/>
    <w:rsid w:val="001851B7"/>
    <w:rsid w:val="0019183F"/>
    <w:rsid w:val="0019250A"/>
    <w:rsid w:val="0019291E"/>
    <w:rsid w:val="001957CE"/>
    <w:rsid w:val="00196E92"/>
    <w:rsid w:val="001A579E"/>
    <w:rsid w:val="001B4888"/>
    <w:rsid w:val="001B56E7"/>
    <w:rsid w:val="001C4946"/>
    <w:rsid w:val="001C7149"/>
    <w:rsid w:val="001D76AC"/>
    <w:rsid w:val="001E1787"/>
    <w:rsid w:val="001E2C7D"/>
    <w:rsid w:val="001E3BAE"/>
    <w:rsid w:val="001E7DEF"/>
    <w:rsid w:val="00203DA5"/>
    <w:rsid w:val="00206821"/>
    <w:rsid w:val="00206CD0"/>
    <w:rsid w:val="00213516"/>
    <w:rsid w:val="00214737"/>
    <w:rsid w:val="00214D4C"/>
    <w:rsid w:val="00217245"/>
    <w:rsid w:val="002217CC"/>
    <w:rsid w:val="0022580B"/>
    <w:rsid w:val="00233336"/>
    <w:rsid w:val="00236370"/>
    <w:rsid w:val="002369EA"/>
    <w:rsid w:val="002376A3"/>
    <w:rsid w:val="002517DA"/>
    <w:rsid w:val="00252615"/>
    <w:rsid w:val="00257F05"/>
    <w:rsid w:val="00261637"/>
    <w:rsid w:val="00264682"/>
    <w:rsid w:val="00265075"/>
    <w:rsid w:val="00283110"/>
    <w:rsid w:val="00285380"/>
    <w:rsid w:val="0028626F"/>
    <w:rsid w:val="0029699C"/>
    <w:rsid w:val="002A00D2"/>
    <w:rsid w:val="002A178E"/>
    <w:rsid w:val="002A3347"/>
    <w:rsid w:val="002A47D9"/>
    <w:rsid w:val="002B05E9"/>
    <w:rsid w:val="002B2116"/>
    <w:rsid w:val="002B5EF5"/>
    <w:rsid w:val="002B79E1"/>
    <w:rsid w:val="002C0631"/>
    <w:rsid w:val="002C41E4"/>
    <w:rsid w:val="002C77C1"/>
    <w:rsid w:val="002D3203"/>
    <w:rsid w:val="002D37DD"/>
    <w:rsid w:val="002D4CBC"/>
    <w:rsid w:val="002D78CD"/>
    <w:rsid w:val="002F1A3E"/>
    <w:rsid w:val="0030159A"/>
    <w:rsid w:val="00303167"/>
    <w:rsid w:val="00303274"/>
    <w:rsid w:val="0030354B"/>
    <w:rsid w:val="003039C6"/>
    <w:rsid w:val="003063D1"/>
    <w:rsid w:val="00306E17"/>
    <w:rsid w:val="0031563F"/>
    <w:rsid w:val="0032088D"/>
    <w:rsid w:val="00320F5A"/>
    <w:rsid w:val="00322AC0"/>
    <w:rsid w:val="00330AE8"/>
    <w:rsid w:val="003332E1"/>
    <w:rsid w:val="0033452B"/>
    <w:rsid w:val="003458B1"/>
    <w:rsid w:val="003465F1"/>
    <w:rsid w:val="00351AAF"/>
    <w:rsid w:val="00351BA2"/>
    <w:rsid w:val="00360109"/>
    <w:rsid w:val="0036043A"/>
    <w:rsid w:val="003637B1"/>
    <w:rsid w:val="003755B6"/>
    <w:rsid w:val="0037649F"/>
    <w:rsid w:val="00383004"/>
    <w:rsid w:val="0038721F"/>
    <w:rsid w:val="003A6A51"/>
    <w:rsid w:val="003B3815"/>
    <w:rsid w:val="003C2412"/>
    <w:rsid w:val="003C3ED1"/>
    <w:rsid w:val="003C4177"/>
    <w:rsid w:val="003D222E"/>
    <w:rsid w:val="003D4E47"/>
    <w:rsid w:val="003D692E"/>
    <w:rsid w:val="003E036D"/>
    <w:rsid w:val="003E6309"/>
    <w:rsid w:val="003F16AD"/>
    <w:rsid w:val="003F276D"/>
    <w:rsid w:val="003F6DFB"/>
    <w:rsid w:val="003F7A43"/>
    <w:rsid w:val="00404D99"/>
    <w:rsid w:val="00406888"/>
    <w:rsid w:val="004068AC"/>
    <w:rsid w:val="00407BD5"/>
    <w:rsid w:val="00413C5B"/>
    <w:rsid w:val="00413CE8"/>
    <w:rsid w:val="004143BB"/>
    <w:rsid w:val="00415D94"/>
    <w:rsid w:val="004217B7"/>
    <w:rsid w:val="00423A94"/>
    <w:rsid w:val="00434770"/>
    <w:rsid w:val="00436CEF"/>
    <w:rsid w:val="004440BB"/>
    <w:rsid w:val="00447015"/>
    <w:rsid w:val="00453EEA"/>
    <w:rsid w:val="004643F3"/>
    <w:rsid w:val="0046749E"/>
    <w:rsid w:val="0047543C"/>
    <w:rsid w:val="00475A70"/>
    <w:rsid w:val="00476A76"/>
    <w:rsid w:val="004775CC"/>
    <w:rsid w:val="00477C41"/>
    <w:rsid w:val="00484F3B"/>
    <w:rsid w:val="00485E50"/>
    <w:rsid w:val="004919DE"/>
    <w:rsid w:val="00494181"/>
    <w:rsid w:val="00497EED"/>
    <w:rsid w:val="004A05D2"/>
    <w:rsid w:val="004A2822"/>
    <w:rsid w:val="004A2B72"/>
    <w:rsid w:val="004B0E96"/>
    <w:rsid w:val="004C0E07"/>
    <w:rsid w:val="004C33A1"/>
    <w:rsid w:val="004C5CAF"/>
    <w:rsid w:val="004C696D"/>
    <w:rsid w:val="004C69D6"/>
    <w:rsid w:val="004D65AC"/>
    <w:rsid w:val="004E6215"/>
    <w:rsid w:val="004E796F"/>
    <w:rsid w:val="004F0615"/>
    <w:rsid w:val="004F43DB"/>
    <w:rsid w:val="004F78A1"/>
    <w:rsid w:val="004F7983"/>
    <w:rsid w:val="00502717"/>
    <w:rsid w:val="00510888"/>
    <w:rsid w:val="00513A99"/>
    <w:rsid w:val="00517EB8"/>
    <w:rsid w:val="005202FB"/>
    <w:rsid w:val="00521984"/>
    <w:rsid w:val="00521F13"/>
    <w:rsid w:val="00523846"/>
    <w:rsid w:val="005316AB"/>
    <w:rsid w:val="0053211E"/>
    <w:rsid w:val="005354B4"/>
    <w:rsid w:val="0053769E"/>
    <w:rsid w:val="00541666"/>
    <w:rsid w:val="00550B01"/>
    <w:rsid w:val="00552963"/>
    <w:rsid w:val="00554AD7"/>
    <w:rsid w:val="00555EB6"/>
    <w:rsid w:val="00574343"/>
    <w:rsid w:val="00582CD9"/>
    <w:rsid w:val="00586BC6"/>
    <w:rsid w:val="00586F77"/>
    <w:rsid w:val="00586FAE"/>
    <w:rsid w:val="00592197"/>
    <w:rsid w:val="00593DB6"/>
    <w:rsid w:val="00595D6E"/>
    <w:rsid w:val="00597A79"/>
    <w:rsid w:val="005A7A39"/>
    <w:rsid w:val="005B6A48"/>
    <w:rsid w:val="005B7D18"/>
    <w:rsid w:val="005C44FA"/>
    <w:rsid w:val="005C4CF2"/>
    <w:rsid w:val="005D19CA"/>
    <w:rsid w:val="005D2417"/>
    <w:rsid w:val="005D38FE"/>
    <w:rsid w:val="005D4703"/>
    <w:rsid w:val="005D5DDE"/>
    <w:rsid w:val="005D6AFF"/>
    <w:rsid w:val="005D7A03"/>
    <w:rsid w:val="005E17CE"/>
    <w:rsid w:val="005E1DF4"/>
    <w:rsid w:val="005E28BB"/>
    <w:rsid w:val="005E5746"/>
    <w:rsid w:val="005F7ACD"/>
    <w:rsid w:val="00600098"/>
    <w:rsid w:val="00600F89"/>
    <w:rsid w:val="00602DE5"/>
    <w:rsid w:val="00607BE7"/>
    <w:rsid w:val="00620909"/>
    <w:rsid w:val="00622431"/>
    <w:rsid w:val="0062251E"/>
    <w:rsid w:val="006237F1"/>
    <w:rsid w:val="00626E1A"/>
    <w:rsid w:val="00645813"/>
    <w:rsid w:val="00646A9B"/>
    <w:rsid w:val="00647CED"/>
    <w:rsid w:val="00650772"/>
    <w:rsid w:val="00652E3E"/>
    <w:rsid w:val="00654122"/>
    <w:rsid w:val="00657352"/>
    <w:rsid w:val="00661A91"/>
    <w:rsid w:val="0066404A"/>
    <w:rsid w:val="00667FE3"/>
    <w:rsid w:val="00671AC6"/>
    <w:rsid w:val="006772B7"/>
    <w:rsid w:val="006807E9"/>
    <w:rsid w:val="00684DFC"/>
    <w:rsid w:val="00693F90"/>
    <w:rsid w:val="00694888"/>
    <w:rsid w:val="00695276"/>
    <w:rsid w:val="00695EC3"/>
    <w:rsid w:val="00696BC5"/>
    <w:rsid w:val="006A53E3"/>
    <w:rsid w:val="006B19F1"/>
    <w:rsid w:val="006C2D61"/>
    <w:rsid w:val="006C66B1"/>
    <w:rsid w:val="006D0ABF"/>
    <w:rsid w:val="006D166E"/>
    <w:rsid w:val="006D2962"/>
    <w:rsid w:val="006D5D2A"/>
    <w:rsid w:val="006E19E6"/>
    <w:rsid w:val="006E226B"/>
    <w:rsid w:val="006F431A"/>
    <w:rsid w:val="0070158C"/>
    <w:rsid w:val="00702444"/>
    <w:rsid w:val="00707B17"/>
    <w:rsid w:val="00712780"/>
    <w:rsid w:val="00712B49"/>
    <w:rsid w:val="00714270"/>
    <w:rsid w:val="00714602"/>
    <w:rsid w:val="00714D15"/>
    <w:rsid w:val="00716064"/>
    <w:rsid w:val="0072102A"/>
    <w:rsid w:val="007218C9"/>
    <w:rsid w:val="00726220"/>
    <w:rsid w:val="00730539"/>
    <w:rsid w:val="007321BE"/>
    <w:rsid w:val="007342B3"/>
    <w:rsid w:val="007348E1"/>
    <w:rsid w:val="007372BE"/>
    <w:rsid w:val="00743AF0"/>
    <w:rsid w:val="00751A76"/>
    <w:rsid w:val="007556D6"/>
    <w:rsid w:val="007568DC"/>
    <w:rsid w:val="00760B61"/>
    <w:rsid w:val="0076185F"/>
    <w:rsid w:val="007630EA"/>
    <w:rsid w:val="0076563F"/>
    <w:rsid w:val="007659DB"/>
    <w:rsid w:val="007671CD"/>
    <w:rsid w:val="007704A1"/>
    <w:rsid w:val="007769CE"/>
    <w:rsid w:val="00786084"/>
    <w:rsid w:val="007910E7"/>
    <w:rsid w:val="007A4118"/>
    <w:rsid w:val="007A51F2"/>
    <w:rsid w:val="007A7F96"/>
    <w:rsid w:val="007B04E6"/>
    <w:rsid w:val="007B11B4"/>
    <w:rsid w:val="007B2B5B"/>
    <w:rsid w:val="007B5F98"/>
    <w:rsid w:val="007C07EC"/>
    <w:rsid w:val="007C242A"/>
    <w:rsid w:val="007C7502"/>
    <w:rsid w:val="007D185A"/>
    <w:rsid w:val="007D18FA"/>
    <w:rsid w:val="007E2DD3"/>
    <w:rsid w:val="007E6088"/>
    <w:rsid w:val="007E7F0E"/>
    <w:rsid w:val="007F31B5"/>
    <w:rsid w:val="0080236D"/>
    <w:rsid w:val="00807E69"/>
    <w:rsid w:val="008114CF"/>
    <w:rsid w:val="00816E68"/>
    <w:rsid w:val="00827864"/>
    <w:rsid w:val="00837719"/>
    <w:rsid w:val="00841988"/>
    <w:rsid w:val="00846888"/>
    <w:rsid w:val="00847C8C"/>
    <w:rsid w:val="00852128"/>
    <w:rsid w:val="008539F9"/>
    <w:rsid w:val="00855246"/>
    <w:rsid w:val="0086187B"/>
    <w:rsid w:val="00861C70"/>
    <w:rsid w:val="00862C3A"/>
    <w:rsid w:val="008635A6"/>
    <w:rsid w:val="00866AD2"/>
    <w:rsid w:val="00867C83"/>
    <w:rsid w:val="0087348B"/>
    <w:rsid w:val="00873C52"/>
    <w:rsid w:val="00882C66"/>
    <w:rsid w:val="00882E5D"/>
    <w:rsid w:val="008872A0"/>
    <w:rsid w:val="00893AD8"/>
    <w:rsid w:val="0089720F"/>
    <w:rsid w:val="008A260D"/>
    <w:rsid w:val="008A63E5"/>
    <w:rsid w:val="008B12BC"/>
    <w:rsid w:val="008B61EF"/>
    <w:rsid w:val="008C7960"/>
    <w:rsid w:val="008E3D5B"/>
    <w:rsid w:val="008E3DF5"/>
    <w:rsid w:val="008F51DD"/>
    <w:rsid w:val="00900D10"/>
    <w:rsid w:val="00901A6E"/>
    <w:rsid w:val="00904635"/>
    <w:rsid w:val="00906A7E"/>
    <w:rsid w:val="00916456"/>
    <w:rsid w:val="0092016C"/>
    <w:rsid w:val="00926315"/>
    <w:rsid w:val="009302FF"/>
    <w:rsid w:val="009350F1"/>
    <w:rsid w:val="0093733D"/>
    <w:rsid w:val="0094071F"/>
    <w:rsid w:val="00940957"/>
    <w:rsid w:val="00943D48"/>
    <w:rsid w:val="00954D5C"/>
    <w:rsid w:val="00956B11"/>
    <w:rsid w:val="00960E5B"/>
    <w:rsid w:val="009610E7"/>
    <w:rsid w:val="009618D5"/>
    <w:rsid w:val="00965FF7"/>
    <w:rsid w:val="00966B9A"/>
    <w:rsid w:val="0097033D"/>
    <w:rsid w:val="00971166"/>
    <w:rsid w:val="009735E8"/>
    <w:rsid w:val="009821F8"/>
    <w:rsid w:val="009832D2"/>
    <w:rsid w:val="009911FF"/>
    <w:rsid w:val="00993726"/>
    <w:rsid w:val="009A3AD0"/>
    <w:rsid w:val="009A46EB"/>
    <w:rsid w:val="009B4BB6"/>
    <w:rsid w:val="009B563A"/>
    <w:rsid w:val="009B7C9C"/>
    <w:rsid w:val="009B7F9A"/>
    <w:rsid w:val="009C58AB"/>
    <w:rsid w:val="009D0318"/>
    <w:rsid w:val="009D1240"/>
    <w:rsid w:val="009E1233"/>
    <w:rsid w:val="009E2CAA"/>
    <w:rsid w:val="009E3133"/>
    <w:rsid w:val="009F1FE4"/>
    <w:rsid w:val="00A020F3"/>
    <w:rsid w:val="00A11401"/>
    <w:rsid w:val="00A135A8"/>
    <w:rsid w:val="00A16708"/>
    <w:rsid w:val="00A23E7A"/>
    <w:rsid w:val="00A244A1"/>
    <w:rsid w:val="00A2527D"/>
    <w:rsid w:val="00A33A35"/>
    <w:rsid w:val="00A34203"/>
    <w:rsid w:val="00A35C7E"/>
    <w:rsid w:val="00A36F92"/>
    <w:rsid w:val="00A46613"/>
    <w:rsid w:val="00A471AC"/>
    <w:rsid w:val="00A51B50"/>
    <w:rsid w:val="00A54CF6"/>
    <w:rsid w:val="00A663B2"/>
    <w:rsid w:val="00A676C6"/>
    <w:rsid w:val="00A7020F"/>
    <w:rsid w:val="00A71313"/>
    <w:rsid w:val="00A73B9D"/>
    <w:rsid w:val="00A76277"/>
    <w:rsid w:val="00A86121"/>
    <w:rsid w:val="00A90E9C"/>
    <w:rsid w:val="00A91390"/>
    <w:rsid w:val="00AA1DB3"/>
    <w:rsid w:val="00AA2703"/>
    <w:rsid w:val="00AA502D"/>
    <w:rsid w:val="00AB239F"/>
    <w:rsid w:val="00AB398F"/>
    <w:rsid w:val="00AC05B3"/>
    <w:rsid w:val="00AC3D5C"/>
    <w:rsid w:val="00AC75D9"/>
    <w:rsid w:val="00AC7A1B"/>
    <w:rsid w:val="00AD42A3"/>
    <w:rsid w:val="00AD7F75"/>
    <w:rsid w:val="00AE0CD1"/>
    <w:rsid w:val="00AE0F1C"/>
    <w:rsid w:val="00AE2462"/>
    <w:rsid w:val="00AE39A8"/>
    <w:rsid w:val="00AE5DBD"/>
    <w:rsid w:val="00AE6BA2"/>
    <w:rsid w:val="00AF0FBD"/>
    <w:rsid w:val="00AF41D8"/>
    <w:rsid w:val="00AF4A93"/>
    <w:rsid w:val="00AF4FB1"/>
    <w:rsid w:val="00B0188B"/>
    <w:rsid w:val="00B033A6"/>
    <w:rsid w:val="00B12D0A"/>
    <w:rsid w:val="00B14609"/>
    <w:rsid w:val="00B172DC"/>
    <w:rsid w:val="00B20B20"/>
    <w:rsid w:val="00B2170B"/>
    <w:rsid w:val="00B22901"/>
    <w:rsid w:val="00B23B43"/>
    <w:rsid w:val="00B24A19"/>
    <w:rsid w:val="00B31656"/>
    <w:rsid w:val="00B33AF5"/>
    <w:rsid w:val="00B341BC"/>
    <w:rsid w:val="00B34DF4"/>
    <w:rsid w:val="00B35A0D"/>
    <w:rsid w:val="00B37CFE"/>
    <w:rsid w:val="00B42916"/>
    <w:rsid w:val="00B5300A"/>
    <w:rsid w:val="00B56D0E"/>
    <w:rsid w:val="00B70E9F"/>
    <w:rsid w:val="00B71B62"/>
    <w:rsid w:val="00B75EDF"/>
    <w:rsid w:val="00B77B8C"/>
    <w:rsid w:val="00B83DD4"/>
    <w:rsid w:val="00B8550D"/>
    <w:rsid w:val="00B94F68"/>
    <w:rsid w:val="00B953F6"/>
    <w:rsid w:val="00BA0A16"/>
    <w:rsid w:val="00BA0CEB"/>
    <w:rsid w:val="00BA6662"/>
    <w:rsid w:val="00BB10B0"/>
    <w:rsid w:val="00BB167B"/>
    <w:rsid w:val="00BB1B14"/>
    <w:rsid w:val="00BC2880"/>
    <w:rsid w:val="00BC4DCB"/>
    <w:rsid w:val="00BC7EB8"/>
    <w:rsid w:val="00BD35D6"/>
    <w:rsid w:val="00BD6B52"/>
    <w:rsid w:val="00BE4796"/>
    <w:rsid w:val="00BF105B"/>
    <w:rsid w:val="00BF19DE"/>
    <w:rsid w:val="00BF4152"/>
    <w:rsid w:val="00BF5CC4"/>
    <w:rsid w:val="00C008FE"/>
    <w:rsid w:val="00C03FC8"/>
    <w:rsid w:val="00C05182"/>
    <w:rsid w:val="00C1246A"/>
    <w:rsid w:val="00C157FA"/>
    <w:rsid w:val="00C243B8"/>
    <w:rsid w:val="00C24ED1"/>
    <w:rsid w:val="00C25607"/>
    <w:rsid w:val="00C26F9D"/>
    <w:rsid w:val="00C31093"/>
    <w:rsid w:val="00C32B6A"/>
    <w:rsid w:val="00C365AC"/>
    <w:rsid w:val="00C36C18"/>
    <w:rsid w:val="00C372D3"/>
    <w:rsid w:val="00C472F0"/>
    <w:rsid w:val="00C5017E"/>
    <w:rsid w:val="00C55568"/>
    <w:rsid w:val="00C57E1B"/>
    <w:rsid w:val="00C6278A"/>
    <w:rsid w:val="00C6697D"/>
    <w:rsid w:val="00C6786B"/>
    <w:rsid w:val="00C7444F"/>
    <w:rsid w:val="00C77190"/>
    <w:rsid w:val="00C77DA0"/>
    <w:rsid w:val="00C81C7C"/>
    <w:rsid w:val="00C85827"/>
    <w:rsid w:val="00C86468"/>
    <w:rsid w:val="00C9567C"/>
    <w:rsid w:val="00CA4A12"/>
    <w:rsid w:val="00CA5B29"/>
    <w:rsid w:val="00CB17BF"/>
    <w:rsid w:val="00CB20D3"/>
    <w:rsid w:val="00CB4FB4"/>
    <w:rsid w:val="00CC5D17"/>
    <w:rsid w:val="00CC5FFD"/>
    <w:rsid w:val="00CD2109"/>
    <w:rsid w:val="00CD330E"/>
    <w:rsid w:val="00CD735D"/>
    <w:rsid w:val="00CE2CE2"/>
    <w:rsid w:val="00CF32CA"/>
    <w:rsid w:val="00CF7080"/>
    <w:rsid w:val="00D02611"/>
    <w:rsid w:val="00D02D68"/>
    <w:rsid w:val="00D02E1C"/>
    <w:rsid w:val="00D12622"/>
    <w:rsid w:val="00D12DDD"/>
    <w:rsid w:val="00D14D11"/>
    <w:rsid w:val="00D24C22"/>
    <w:rsid w:val="00D263F5"/>
    <w:rsid w:val="00D30532"/>
    <w:rsid w:val="00D33121"/>
    <w:rsid w:val="00D33838"/>
    <w:rsid w:val="00D35667"/>
    <w:rsid w:val="00D36E44"/>
    <w:rsid w:val="00D41C6D"/>
    <w:rsid w:val="00D42FFC"/>
    <w:rsid w:val="00D4358F"/>
    <w:rsid w:val="00D460BF"/>
    <w:rsid w:val="00D540CA"/>
    <w:rsid w:val="00D55BFF"/>
    <w:rsid w:val="00D577A3"/>
    <w:rsid w:val="00D6259A"/>
    <w:rsid w:val="00D62B28"/>
    <w:rsid w:val="00D66147"/>
    <w:rsid w:val="00D66540"/>
    <w:rsid w:val="00D76598"/>
    <w:rsid w:val="00D81A4C"/>
    <w:rsid w:val="00D81DB7"/>
    <w:rsid w:val="00D828C2"/>
    <w:rsid w:val="00D8435E"/>
    <w:rsid w:val="00D85A1F"/>
    <w:rsid w:val="00D90406"/>
    <w:rsid w:val="00D9067D"/>
    <w:rsid w:val="00D920FB"/>
    <w:rsid w:val="00D92319"/>
    <w:rsid w:val="00DB0E74"/>
    <w:rsid w:val="00DB4FE2"/>
    <w:rsid w:val="00DC2B13"/>
    <w:rsid w:val="00DC394B"/>
    <w:rsid w:val="00DD26E6"/>
    <w:rsid w:val="00DD2AD5"/>
    <w:rsid w:val="00DD37D4"/>
    <w:rsid w:val="00DD499D"/>
    <w:rsid w:val="00DD4DEF"/>
    <w:rsid w:val="00DE1E23"/>
    <w:rsid w:val="00DE2974"/>
    <w:rsid w:val="00DE3024"/>
    <w:rsid w:val="00DF298B"/>
    <w:rsid w:val="00DF2EAD"/>
    <w:rsid w:val="00DF3418"/>
    <w:rsid w:val="00DF3805"/>
    <w:rsid w:val="00DF3E20"/>
    <w:rsid w:val="00DF4A08"/>
    <w:rsid w:val="00E004A6"/>
    <w:rsid w:val="00E02A50"/>
    <w:rsid w:val="00E079EC"/>
    <w:rsid w:val="00E17EF9"/>
    <w:rsid w:val="00E20A81"/>
    <w:rsid w:val="00E20F4F"/>
    <w:rsid w:val="00E24C36"/>
    <w:rsid w:val="00E258D8"/>
    <w:rsid w:val="00E26996"/>
    <w:rsid w:val="00E27878"/>
    <w:rsid w:val="00E32E3B"/>
    <w:rsid w:val="00E352C1"/>
    <w:rsid w:val="00E37AAB"/>
    <w:rsid w:val="00E4003C"/>
    <w:rsid w:val="00E401F5"/>
    <w:rsid w:val="00E5097D"/>
    <w:rsid w:val="00E54C1C"/>
    <w:rsid w:val="00E55F51"/>
    <w:rsid w:val="00E56B62"/>
    <w:rsid w:val="00E600EC"/>
    <w:rsid w:val="00E6019B"/>
    <w:rsid w:val="00E66EEC"/>
    <w:rsid w:val="00E716CE"/>
    <w:rsid w:val="00E73945"/>
    <w:rsid w:val="00E765F8"/>
    <w:rsid w:val="00E8014C"/>
    <w:rsid w:val="00E8071E"/>
    <w:rsid w:val="00E87B2A"/>
    <w:rsid w:val="00E93440"/>
    <w:rsid w:val="00E95AFA"/>
    <w:rsid w:val="00EA09C6"/>
    <w:rsid w:val="00EA0DDC"/>
    <w:rsid w:val="00EA42A4"/>
    <w:rsid w:val="00EA6975"/>
    <w:rsid w:val="00EC38F7"/>
    <w:rsid w:val="00EC480E"/>
    <w:rsid w:val="00ED0836"/>
    <w:rsid w:val="00ED598A"/>
    <w:rsid w:val="00ED68AB"/>
    <w:rsid w:val="00ED7124"/>
    <w:rsid w:val="00EE0E2E"/>
    <w:rsid w:val="00EE29EC"/>
    <w:rsid w:val="00EE4468"/>
    <w:rsid w:val="00EE7BBB"/>
    <w:rsid w:val="00EF2FB2"/>
    <w:rsid w:val="00EF5A49"/>
    <w:rsid w:val="00F03BB0"/>
    <w:rsid w:val="00F04D52"/>
    <w:rsid w:val="00F104B1"/>
    <w:rsid w:val="00F10C6D"/>
    <w:rsid w:val="00F114BA"/>
    <w:rsid w:val="00F14FF1"/>
    <w:rsid w:val="00F1771E"/>
    <w:rsid w:val="00F20147"/>
    <w:rsid w:val="00F2036E"/>
    <w:rsid w:val="00F21DBA"/>
    <w:rsid w:val="00F2508A"/>
    <w:rsid w:val="00F26222"/>
    <w:rsid w:val="00F30C5B"/>
    <w:rsid w:val="00F30DCF"/>
    <w:rsid w:val="00F33DD4"/>
    <w:rsid w:val="00F35B3D"/>
    <w:rsid w:val="00F363C0"/>
    <w:rsid w:val="00F429E2"/>
    <w:rsid w:val="00F46077"/>
    <w:rsid w:val="00F479B7"/>
    <w:rsid w:val="00F56043"/>
    <w:rsid w:val="00F65DB4"/>
    <w:rsid w:val="00F77550"/>
    <w:rsid w:val="00F77C17"/>
    <w:rsid w:val="00F81776"/>
    <w:rsid w:val="00F8251B"/>
    <w:rsid w:val="00F84B2E"/>
    <w:rsid w:val="00F86BB2"/>
    <w:rsid w:val="00F87D77"/>
    <w:rsid w:val="00F92430"/>
    <w:rsid w:val="00F92DB1"/>
    <w:rsid w:val="00FA00E0"/>
    <w:rsid w:val="00FA0C30"/>
    <w:rsid w:val="00FA6109"/>
    <w:rsid w:val="00FA6D0E"/>
    <w:rsid w:val="00FA7A06"/>
    <w:rsid w:val="00FB2B28"/>
    <w:rsid w:val="00FB4D84"/>
    <w:rsid w:val="00FB4F71"/>
    <w:rsid w:val="00FB63AB"/>
    <w:rsid w:val="00FC2533"/>
    <w:rsid w:val="00FC31A8"/>
    <w:rsid w:val="00FD2FCD"/>
    <w:rsid w:val="00FE2333"/>
    <w:rsid w:val="00FE3560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137CA"/>
  <w15:chartTrackingRefBased/>
  <w15:docId w15:val="{AD636919-5F8C-4442-BD78-BF221024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E5B"/>
  </w:style>
  <w:style w:type="paragraph" w:styleId="Footer">
    <w:name w:val="footer"/>
    <w:basedOn w:val="Normal"/>
    <w:link w:val="FooterChar"/>
    <w:uiPriority w:val="99"/>
    <w:unhideWhenUsed/>
    <w:rsid w:val="00960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E5B"/>
  </w:style>
  <w:style w:type="character" w:styleId="Hyperlink">
    <w:name w:val="Hyperlink"/>
    <w:rsid w:val="003F2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69A69-1D16-41EC-9BB4-A67FE782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3331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Ensayo Crítico de un Artículo:</vt:lpstr>
    </vt:vector>
  </TitlesOfParts>
  <Company/>
  <LinksUpToDate>false</LinksUpToDate>
  <CharactersWithSpaces>22274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Ensayo Crítico de un Artículo:</dc:title>
  <dc:subject/>
  <dc:creator>Edgar Lopategui</dc:creator>
  <cp:keywords/>
  <dc:description/>
  <cp:lastModifiedBy>Edgar Lopategui Corsino</cp:lastModifiedBy>
  <cp:revision>2</cp:revision>
  <dcterms:created xsi:type="dcterms:W3CDTF">2024-08-28T19:58:00Z</dcterms:created>
  <dcterms:modified xsi:type="dcterms:W3CDTF">2024-08-28T19:58:00Z</dcterms:modified>
</cp:coreProperties>
</file>